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22C2D2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657DB4">
        <w:t>Smithills School</w:t>
      </w:r>
    </w:p>
    <w:p w14:paraId="57AD2424" w14:textId="2A471DB3"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14E8D61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0A0D2ED"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3B337B6F" w:rsidR="002940F3" w:rsidRDefault="002940F3" w:rsidP="00C31636">
            <w:pPr>
              <w:pStyle w:val="TableRow"/>
              <w:ind w:left="0" w:right="0"/>
            </w:pPr>
            <w:r>
              <w:t>Number of pupils in school</w:t>
            </w:r>
            <w:r w:rsidR="00315D23">
              <w:t xml:space="preserve">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E5D2DFD" w:rsidR="002940F3" w:rsidRDefault="00AD2A31" w:rsidP="00C31636">
            <w:pPr>
              <w:pStyle w:val="TableRow"/>
              <w:ind w:left="0" w:right="0"/>
            </w:pPr>
            <w:r>
              <w:t>1228</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BE4C5F9" w:rsidR="002940F3" w:rsidRDefault="00AD2A31" w:rsidP="00C31636">
            <w:pPr>
              <w:pStyle w:val="TableRow"/>
              <w:ind w:left="0" w:right="0"/>
            </w:pPr>
            <w:r>
              <w:t>42%</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0F026EC8" w:rsidR="002940F3" w:rsidRDefault="00657DB4" w:rsidP="00C31636">
            <w:pPr>
              <w:pStyle w:val="TableRow"/>
              <w:ind w:left="0" w:right="0"/>
            </w:pPr>
            <w:r>
              <w:t>202</w:t>
            </w:r>
            <w:r w:rsidR="00AB4DD7">
              <w:t>5</w:t>
            </w:r>
            <w:r>
              <w:t>-202</w:t>
            </w:r>
            <w:r w:rsidR="00AB4DD7">
              <w:t>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5A31F3C" w:rsidR="002940F3" w:rsidRDefault="00657DB4" w:rsidP="00C31636">
            <w:pPr>
              <w:pStyle w:val="TableRow"/>
              <w:ind w:left="0" w:right="0"/>
            </w:pPr>
            <w:r>
              <w:t>December 202</w:t>
            </w:r>
            <w:r w:rsidR="00AB4DD7">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82B5D9F" w:rsidR="002940F3" w:rsidRDefault="00657DB4" w:rsidP="00C31636">
            <w:pPr>
              <w:pStyle w:val="TableRow"/>
              <w:ind w:left="0" w:right="0"/>
            </w:pPr>
            <w:r>
              <w:t>Termly</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864A3D9" w:rsidR="002940F3" w:rsidRDefault="00657DB4" w:rsidP="00C31636">
            <w:pPr>
              <w:pStyle w:val="TableRow"/>
              <w:ind w:left="0" w:right="0"/>
            </w:pPr>
            <w:r>
              <w:t>C Dewse, Headteacher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82B7E08" w:rsidR="002940F3" w:rsidRDefault="00657DB4" w:rsidP="00C31636">
            <w:pPr>
              <w:pStyle w:val="TableRow"/>
              <w:ind w:left="0" w:right="0"/>
            </w:pPr>
            <w:r>
              <w:t>A Scholefield. AHT</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A2EDEBC" w:rsidR="002940F3" w:rsidRDefault="00F41961" w:rsidP="00C31636">
            <w:pPr>
              <w:pStyle w:val="TableRow"/>
              <w:ind w:left="0" w:right="0"/>
            </w:pPr>
            <w:r>
              <w:t>P Hodgkinson</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7FEA38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7FEA38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6D47112F" w:rsidR="00E66558" w:rsidRPr="004F741D" w:rsidRDefault="009D71E8" w:rsidP="00C31636">
            <w:pPr>
              <w:pStyle w:val="TableRow"/>
              <w:ind w:left="0" w:right="0"/>
            </w:pPr>
            <w:r w:rsidRPr="004F741D">
              <w:t>£</w:t>
            </w:r>
            <w:r w:rsidR="0040056A" w:rsidRPr="004F741D">
              <w:t>5</w:t>
            </w:r>
            <w:r w:rsidR="0E2EF87D" w:rsidRPr="004F741D">
              <w:t>33,200</w:t>
            </w:r>
          </w:p>
        </w:tc>
      </w:tr>
      <w:tr w:rsidR="00E66558" w14:paraId="2A7D54DF" w14:textId="77777777" w:rsidTr="77FEA38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1CB37CF" w:rsidR="00E66558" w:rsidRPr="004F741D" w:rsidRDefault="009D71E8" w:rsidP="00C31636">
            <w:pPr>
              <w:pStyle w:val="TableRow"/>
              <w:ind w:left="0" w:right="0"/>
            </w:pPr>
            <w:r w:rsidRPr="004F741D">
              <w:t>£</w:t>
            </w:r>
            <w:r w:rsidR="0040056A" w:rsidRPr="004F741D">
              <w:t>0</w:t>
            </w:r>
          </w:p>
        </w:tc>
      </w:tr>
      <w:tr w:rsidR="00E66558" w14:paraId="2A7D54E3" w14:textId="77777777" w:rsidTr="77FEA38F">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2498A4E" w:rsidR="00E66558" w:rsidRPr="004F741D" w:rsidRDefault="009D71E8" w:rsidP="00C31636">
            <w:pPr>
              <w:pStyle w:val="TableRow"/>
              <w:ind w:left="0" w:right="0"/>
            </w:pPr>
            <w:r w:rsidRPr="004F741D">
              <w:t>£</w:t>
            </w:r>
            <w:r w:rsidR="0040056A" w:rsidRPr="004F741D">
              <w:t>5</w:t>
            </w:r>
            <w:r w:rsidR="268967D6" w:rsidRPr="004F741D">
              <w:t>33,200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9F4AA1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80A2D" w14:textId="6E188FF9" w:rsidR="00D24879" w:rsidRPr="00BC32BA" w:rsidRDefault="09210FD3" w:rsidP="09F4AA1C">
            <w:pPr>
              <w:suppressAutoHyphens w:val="0"/>
              <w:autoSpaceDN/>
              <w:spacing w:before="100" w:beforeAutospacing="1" w:after="100" w:afterAutospacing="1" w:line="240" w:lineRule="auto"/>
              <w:rPr>
                <w:rFonts w:asciiTheme="minorHAnsi" w:hAnsiTheme="minorHAnsi" w:cstheme="minorBidi"/>
                <w:color w:val="auto"/>
                <w:sz w:val="22"/>
                <w:szCs w:val="22"/>
              </w:rPr>
            </w:pPr>
            <w:r w:rsidRPr="09F4AA1C">
              <w:rPr>
                <w:rFonts w:asciiTheme="minorHAnsi" w:hAnsiTheme="minorHAnsi" w:cstheme="minorBidi"/>
                <w:color w:val="auto"/>
                <w:sz w:val="22"/>
                <w:szCs w:val="22"/>
              </w:rPr>
              <w:t>At Smithills School, we are unwavering in our commitment to fostering high aspirations for every student, ensuring that each child is supported to achieve their full potential. In our allocation of Pupil Premium funding, we consider the unique context of our school and the specific challenges our students face. For many pupils</w:t>
            </w:r>
            <w:r w:rsidR="7FB6EFCB" w:rsidRPr="09F4AA1C">
              <w:rPr>
                <w:rFonts w:asciiTheme="minorHAnsi" w:hAnsiTheme="minorHAnsi" w:cstheme="minorBidi"/>
                <w:color w:val="auto"/>
                <w:sz w:val="22"/>
                <w:szCs w:val="22"/>
              </w:rPr>
              <w:t xml:space="preserve">, </w:t>
            </w:r>
            <w:r w:rsidRPr="09F4AA1C">
              <w:rPr>
                <w:rFonts w:asciiTheme="minorHAnsi" w:hAnsiTheme="minorHAnsi" w:cstheme="minorBidi"/>
                <w:color w:val="auto"/>
                <w:sz w:val="22"/>
                <w:szCs w:val="22"/>
              </w:rPr>
              <w:t xml:space="preserve">common obstacles include limited home support, language and communication difficulties, low self-confidence, </w:t>
            </w:r>
            <w:r w:rsidR="3BFBBCBF" w:rsidRPr="09F4AA1C">
              <w:rPr>
                <w:rFonts w:asciiTheme="minorHAnsi" w:hAnsiTheme="minorHAnsi" w:cstheme="minorBidi"/>
                <w:color w:val="auto"/>
                <w:sz w:val="22"/>
                <w:szCs w:val="22"/>
              </w:rPr>
              <w:t>behavioural</w:t>
            </w:r>
            <w:r w:rsidRPr="09F4AA1C">
              <w:rPr>
                <w:rFonts w:asciiTheme="minorHAnsi" w:hAnsiTheme="minorHAnsi" w:cstheme="minorBidi"/>
                <w:color w:val="auto"/>
                <w:sz w:val="22"/>
                <w:szCs w:val="22"/>
              </w:rPr>
              <w:t xml:space="preserve"> challenges, and attendance issues. Some students also navigate complex family circumstances that can impact their academic and personal development. We recogni</w:t>
            </w:r>
            <w:r w:rsidR="2BFD61B8" w:rsidRPr="09F4AA1C">
              <w:rPr>
                <w:rFonts w:asciiTheme="minorHAnsi" w:hAnsiTheme="minorHAnsi" w:cstheme="minorBidi"/>
                <w:color w:val="auto"/>
                <w:sz w:val="22"/>
                <w:szCs w:val="22"/>
              </w:rPr>
              <w:t>s</w:t>
            </w:r>
            <w:r w:rsidRPr="09F4AA1C">
              <w:rPr>
                <w:rFonts w:asciiTheme="minorHAnsi" w:hAnsiTheme="minorHAnsi" w:cstheme="minorBidi"/>
                <w:color w:val="auto"/>
                <w:sz w:val="22"/>
                <w:szCs w:val="22"/>
              </w:rPr>
              <w:t>e that these challenges require individualised approaches—there is no “one size fits all” solution.</w:t>
            </w:r>
          </w:p>
          <w:p w14:paraId="10AB48A7" w14:textId="77777777" w:rsidR="00D24879" w:rsidRPr="00BC32BA" w:rsidRDefault="09210FD3" w:rsidP="09F4AA1C">
            <w:pPr>
              <w:suppressAutoHyphens w:val="0"/>
              <w:autoSpaceDN/>
              <w:spacing w:before="100" w:beforeAutospacing="1" w:after="100" w:afterAutospacing="1" w:line="240" w:lineRule="auto"/>
              <w:rPr>
                <w:rFonts w:asciiTheme="minorHAnsi" w:hAnsiTheme="minorHAnsi" w:cstheme="minorBidi"/>
                <w:color w:val="auto"/>
                <w:sz w:val="22"/>
                <w:szCs w:val="22"/>
              </w:rPr>
            </w:pPr>
            <w:r w:rsidRPr="09F4AA1C">
              <w:rPr>
                <w:rFonts w:asciiTheme="minorHAnsi" w:hAnsiTheme="minorHAnsi" w:cstheme="minorBidi"/>
                <w:color w:val="auto"/>
                <w:sz w:val="22"/>
                <w:szCs w:val="22"/>
              </w:rPr>
              <w:t>Enhancing the achievement and progress of our disadvantaged pupils is a core priority at Smithills School. We have already seen the positive outcomes of our Pupil Premium initiatives in improved GCSE performance, steady Key Stage 3 progress, and the robustness of our academic programs. These gains reflect our dedication to meeting the diverse needs of our students.</w:t>
            </w:r>
          </w:p>
          <w:p w14:paraId="160EDC27" w14:textId="4603E599" w:rsidR="00D24879" w:rsidRPr="00BC32BA" w:rsidRDefault="09210FD3" w:rsidP="09F4AA1C">
            <w:pPr>
              <w:suppressAutoHyphens w:val="0"/>
              <w:autoSpaceDN/>
              <w:spacing w:before="100" w:beforeAutospacing="1" w:after="100" w:afterAutospacing="1" w:line="240" w:lineRule="auto"/>
              <w:rPr>
                <w:rFonts w:asciiTheme="minorHAnsi" w:hAnsiTheme="minorHAnsi" w:cstheme="minorBidi"/>
                <w:color w:val="auto"/>
                <w:sz w:val="22"/>
                <w:szCs w:val="22"/>
              </w:rPr>
            </w:pPr>
            <w:r w:rsidRPr="09F4AA1C">
              <w:rPr>
                <w:rFonts w:asciiTheme="minorHAnsi" w:hAnsiTheme="minorHAnsi" w:cstheme="minorBidi"/>
                <w:color w:val="auto"/>
                <w:sz w:val="22"/>
                <w:szCs w:val="22"/>
              </w:rPr>
              <w:t>While we have made meaningful progress, we remain focused on further areas for development in the upcoming academic year. This includes supporting our high-achieving disadvantaged pupils to reach their next level of potential and addressing specific areas within our curriculum. To accelerate progress for all disadvantaged pupils, we will continue providing targeted, personalised interventions.</w:t>
            </w:r>
          </w:p>
          <w:p w14:paraId="53208175" w14:textId="77777777" w:rsidR="00D24879" w:rsidRPr="00BC32BA" w:rsidRDefault="09210FD3" w:rsidP="09F4AA1C">
            <w:pPr>
              <w:suppressAutoHyphens w:val="0"/>
              <w:autoSpaceDN/>
              <w:spacing w:before="100" w:beforeAutospacing="1" w:after="100" w:afterAutospacing="1" w:line="240" w:lineRule="auto"/>
              <w:rPr>
                <w:rFonts w:asciiTheme="minorHAnsi" w:hAnsiTheme="minorHAnsi" w:cstheme="minorBidi"/>
                <w:color w:val="auto"/>
                <w:sz w:val="22"/>
                <w:szCs w:val="22"/>
              </w:rPr>
            </w:pPr>
            <w:r w:rsidRPr="09F4AA1C">
              <w:rPr>
                <w:rFonts w:asciiTheme="minorHAnsi" w:hAnsiTheme="minorHAnsi" w:cstheme="minorBidi"/>
                <w:color w:val="auto"/>
                <w:sz w:val="22"/>
                <w:szCs w:val="22"/>
              </w:rPr>
              <w:t>At Smithills School, we embrace a holistic approach, collaborating closely with families, staff, and community partners to cultivate well-rounded, resilient individuals who are ready to make a positive impact on society. Our commitment extends beyond academics; we are dedicated to enriching students’ lives with opportunities that foster both personal growth and academic success.</w:t>
            </w:r>
          </w:p>
          <w:p w14:paraId="211355AC" w14:textId="77777777" w:rsidR="00D24879" w:rsidRPr="00BC32BA" w:rsidRDefault="09210FD3" w:rsidP="09F4AA1C">
            <w:pPr>
              <w:suppressAutoHyphens w:val="0"/>
              <w:autoSpaceDN/>
              <w:spacing w:before="100" w:beforeAutospacing="1" w:after="100" w:afterAutospacing="1" w:line="240" w:lineRule="auto"/>
              <w:rPr>
                <w:rFonts w:asciiTheme="minorHAnsi" w:hAnsiTheme="minorHAnsi" w:cstheme="minorBidi"/>
                <w:color w:val="auto"/>
                <w:sz w:val="22"/>
                <w:szCs w:val="22"/>
              </w:rPr>
            </w:pPr>
            <w:r w:rsidRPr="09F4AA1C">
              <w:rPr>
                <w:rFonts w:asciiTheme="minorHAnsi" w:hAnsiTheme="minorHAnsi" w:cstheme="minorBidi"/>
                <w:color w:val="auto"/>
                <w:sz w:val="22"/>
                <w:szCs w:val="22"/>
              </w:rPr>
              <w:t>Our Pupil Premium strategy supports pupils from Years 7 to 11, focusing on three key objectives:</w:t>
            </w:r>
          </w:p>
          <w:p w14:paraId="7DCA7E19" w14:textId="77777777" w:rsidR="00D24879" w:rsidRPr="00BC32BA" w:rsidRDefault="09210FD3" w:rsidP="09F4AA1C">
            <w:pPr>
              <w:numPr>
                <w:ilvl w:val="0"/>
                <w:numId w:val="19"/>
              </w:numPr>
              <w:suppressAutoHyphens w:val="0"/>
              <w:autoSpaceDN/>
              <w:spacing w:before="100" w:beforeAutospacing="1" w:after="100" w:afterAutospacing="1" w:line="240" w:lineRule="auto"/>
              <w:rPr>
                <w:rFonts w:asciiTheme="minorHAnsi" w:hAnsiTheme="minorHAnsi" w:cstheme="minorBidi"/>
                <w:color w:val="auto"/>
                <w:sz w:val="22"/>
                <w:szCs w:val="22"/>
              </w:rPr>
            </w:pPr>
            <w:r w:rsidRPr="09F4AA1C">
              <w:rPr>
                <w:rFonts w:asciiTheme="minorHAnsi" w:hAnsiTheme="minorHAnsi" w:cstheme="minorBidi"/>
                <w:b/>
                <w:bCs/>
                <w:color w:val="auto"/>
                <w:sz w:val="22"/>
                <w:szCs w:val="22"/>
              </w:rPr>
              <w:t>Enhancing in-class learning</w:t>
            </w:r>
          </w:p>
          <w:p w14:paraId="5C548462" w14:textId="77777777" w:rsidR="00D24879" w:rsidRPr="00BC32BA" w:rsidRDefault="09210FD3" w:rsidP="09F4AA1C">
            <w:pPr>
              <w:numPr>
                <w:ilvl w:val="0"/>
                <w:numId w:val="19"/>
              </w:numPr>
              <w:suppressAutoHyphens w:val="0"/>
              <w:autoSpaceDN/>
              <w:spacing w:before="100" w:beforeAutospacing="1" w:after="100" w:afterAutospacing="1" w:line="240" w:lineRule="auto"/>
              <w:rPr>
                <w:rFonts w:asciiTheme="minorHAnsi" w:hAnsiTheme="minorHAnsi" w:cstheme="minorBidi"/>
                <w:color w:val="auto"/>
                <w:sz w:val="22"/>
                <w:szCs w:val="22"/>
              </w:rPr>
            </w:pPr>
            <w:r w:rsidRPr="09F4AA1C">
              <w:rPr>
                <w:rFonts w:asciiTheme="minorHAnsi" w:hAnsiTheme="minorHAnsi" w:cstheme="minorBidi"/>
                <w:b/>
                <w:bCs/>
                <w:color w:val="auto"/>
                <w:sz w:val="22"/>
                <w:szCs w:val="22"/>
              </w:rPr>
              <w:t>Eliminating barriers to learning</w:t>
            </w:r>
          </w:p>
          <w:p w14:paraId="316794D2" w14:textId="77777777" w:rsidR="00D24879" w:rsidRPr="00BC32BA" w:rsidRDefault="09210FD3" w:rsidP="09F4AA1C">
            <w:pPr>
              <w:numPr>
                <w:ilvl w:val="0"/>
                <w:numId w:val="19"/>
              </w:numPr>
              <w:suppressAutoHyphens w:val="0"/>
              <w:autoSpaceDN/>
              <w:spacing w:before="100" w:beforeAutospacing="1" w:after="100" w:afterAutospacing="1" w:line="240" w:lineRule="auto"/>
              <w:rPr>
                <w:rFonts w:asciiTheme="minorHAnsi" w:hAnsiTheme="minorHAnsi" w:cstheme="minorBidi"/>
                <w:color w:val="auto"/>
                <w:sz w:val="22"/>
                <w:szCs w:val="22"/>
              </w:rPr>
            </w:pPr>
            <w:r w:rsidRPr="09F4AA1C">
              <w:rPr>
                <w:rFonts w:asciiTheme="minorHAnsi" w:hAnsiTheme="minorHAnsi" w:cstheme="minorBidi"/>
                <w:b/>
                <w:bCs/>
                <w:color w:val="auto"/>
                <w:sz w:val="22"/>
                <w:szCs w:val="22"/>
              </w:rPr>
              <w:t>Expanding enrichment opportunities beyond the classroom</w:t>
            </w:r>
          </w:p>
          <w:p w14:paraId="6DC5015F" w14:textId="77777777" w:rsidR="00D24879" w:rsidRPr="00BC32BA" w:rsidRDefault="09210FD3" w:rsidP="09F4AA1C">
            <w:pPr>
              <w:suppressAutoHyphens w:val="0"/>
              <w:autoSpaceDN/>
              <w:spacing w:before="100" w:beforeAutospacing="1" w:after="100" w:afterAutospacing="1" w:line="240" w:lineRule="auto"/>
              <w:rPr>
                <w:rFonts w:asciiTheme="minorHAnsi" w:hAnsiTheme="minorHAnsi" w:cstheme="minorBidi"/>
                <w:color w:val="auto"/>
                <w:sz w:val="22"/>
                <w:szCs w:val="22"/>
              </w:rPr>
            </w:pPr>
            <w:r w:rsidRPr="09F4AA1C">
              <w:rPr>
                <w:rFonts w:asciiTheme="minorHAnsi" w:hAnsiTheme="minorHAnsi" w:cstheme="minorBidi"/>
                <w:color w:val="auto"/>
                <w:sz w:val="22"/>
                <w:szCs w:val="22"/>
              </w:rPr>
              <w:t>Through these focused goals, we strive to create a nurturing, inclusive environment where every student is empowered to thrive.</w:t>
            </w:r>
          </w:p>
          <w:p w14:paraId="2A7D54E9" w14:textId="04A8B3AE" w:rsidR="00E66558" w:rsidRPr="0083439F" w:rsidRDefault="00E66558" w:rsidP="09F4AA1C">
            <w:pPr>
              <w:suppressAutoHyphens w:val="0"/>
              <w:autoSpaceDN/>
              <w:spacing w:before="100" w:beforeAutospacing="1" w:after="100" w:afterAutospacing="1" w:line="240" w:lineRule="auto"/>
              <w:rPr>
                <w:rFonts w:ascii="Times New Roman" w:hAnsi="Times New Roman"/>
                <w:color w:val="auto"/>
              </w:rPr>
            </w:pPr>
          </w:p>
        </w:tc>
      </w:tr>
    </w:tbl>
    <w:p w14:paraId="2A7D54EB" w14:textId="77777777" w:rsidR="00E66558" w:rsidRDefault="009D71E8">
      <w:pPr>
        <w:pStyle w:val="Heading2"/>
        <w:spacing w:before="600"/>
      </w:pPr>
      <w:r>
        <w:t>Challenges</w:t>
      </w:r>
    </w:p>
    <w:p w14:paraId="2A7D54EC" w14:textId="77777777" w:rsidR="00E66558" w:rsidRDefault="009D71E8" w:rsidP="00AA355B">
      <w: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9F4AA1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rsidTr="09F4AA1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Pr="0011311F" w:rsidRDefault="009D71E8"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6F1B4E47" w:rsidR="00E66558" w:rsidRPr="00E521CD" w:rsidRDefault="41CA8B74" w:rsidP="09F4AA1C">
            <w:pPr>
              <w:pStyle w:val="TableRowCentered"/>
              <w:ind w:left="0" w:right="0"/>
              <w:jc w:val="left"/>
              <w:rPr>
                <w:rFonts w:asciiTheme="minorHAnsi" w:hAnsiTheme="minorHAnsi" w:cstheme="minorHAnsi"/>
                <w:sz w:val="22"/>
                <w:szCs w:val="22"/>
              </w:rPr>
            </w:pPr>
            <w:r w:rsidRPr="00E521CD">
              <w:rPr>
                <w:rFonts w:asciiTheme="minorHAnsi" w:hAnsiTheme="minorHAnsi" w:cstheme="minorHAnsi"/>
                <w:sz w:val="22"/>
                <w:szCs w:val="22"/>
              </w:rPr>
              <w:t>Pupils eligible for Pupil Premium funding demonstrate weaker decoding</w:t>
            </w:r>
            <w:r w:rsidR="001D211A" w:rsidRPr="00E521CD">
              <w:rPr>
                <w:rFonts w:asciiTheme="minorHAnsi" w:hAnsiTheme="minorHAnsi" w:cstheme="minorHAnsi"/>
                <w:sz w:val="22"/>
                <w:szCs w:val="22"/>
              </w:rPr>
              <w:t xml:space="preserve"> and </w:t>
            </w:r>
            <w:r w:rsidRPr="00E521CD">
              <w:rPr>
                <w:rFonts w:asciiTheme="minorHAnsi" w:hAnsiTheme="minorHAnsi" w:cstheme="minorHAnsi"/>
                <w:sz w:val="22"/>
                <w:szCs w:val="22"/>
              </w:rPr>
              <w:t>comprehension,</w:t>
            </w:r>
            <w:r w:rsidR="001D211A" w:rsidRPr="00E521CD">
              <w:rPr>
                <w:rFonts w:asciiTheme="minorHAnsi" w:hAnsiTheme="minorHAnsi" w:cstheme="minorHAnsi"/>
                <w:sz w:val="22"/>
                <w:szCs w:val="22"/>
              </w:rPr>
              <w:t xml:space="preserve"> </w:t>
            </w:r>
            <w:r w:rsidRPr="00E521CD">
              <w:rPr>
                <w:rFonts w:asciiTheme="minorHAnsi" w:hAnsiTheme="minorHAnsi" w:cstheme="minorHAnsi"/>
                <w:sz w:val="22"/>
                <w:szCs w:val="22"/>
              </w:rPr>
              <w:t xml:space="preserve">which significantly limit their access to and progress across the curriculum. </w:t>
            </w:r>
            <w:r w:rsidR="00F6717B" w:rsidRPr="00E521CD">
              <w:rPr>
                <w:rFonts w:asciiTheme="minorHAnsi" w:hAnsiTheme="minorHAnsi" w:cstheme="minorHAnsi"/>
                <w:sz w:val="22"/>
                <w:szCs w:val="22"/>
              </w:rPr>
              <w:t xml:space="preserve">On average, PP pupils are </w:t>
            </w:r>
            <w:r w:rsidR="00F6717B" w:rsidRPr="00E521CD">
              <w:rPr>
                <w:rStyle w:val="Strong"/>
                <w:rFonts w:asciiTheme="minorHAnsi" w:hAnsiTheme="minorHAnsi" w:cstheme="minorHAnsi"/>
                <w:b w:val="0"/>
                <w:bCs w:val="0"/>
                <w:sz w:val="22"/>
                <w:szCs w:val="22"/>
              </w:rPr>
              <w:t>0.9 years behind in reading</w:t>
            </w:r>
            <w:r w:rsidR="00F6717B" w:rsidRPr="00E521CD">
              <w:rPr>
                <w:rFonts w:asciiTheme="minorHAnsi" w:hAnsiTheme="minorHAnsi" w:cstheme="minorHAnsi"/>
                <w:b/>
                <w:bCs/>
                <w:sz w:val="22"/>
                <w:szCs w:val="22"/>
              </w:rPr>
              <w:t xml:space="preserve"> </w:t>
            </w:r>
            <w:r w:rsidR="00F6717B" w:rsidRPr="00E521CD">
              <w:rPr>
                <w:rFonts w:asciiTheme="minorHAnsi" w:hAnsiTheme="minorHAnsi" w:cstheme="minorHAnsi"/>
                <w:sz w:val="22"/>
                <w:szCs w:val="22"/>
              </w:rPr>
              <w:t>and</w:t>
            </w:r>
            <w:r w:rsidR="00F6717B" w:rsidRPr="00E521CD">
              <w:rPr>
                <w:rFonts w:asciiTheme="minorHAnsi" w:hAnsiTheme="minorHAnsi" w:cstheme="minorHAnsi"/>
                <w:b/>
                <w:bCs/>
                <w:sz w:val="22"/>
                <w:szCs w:val="22"/>
              </w:rPr>
              <w:t xml:space="preserve"> </w:t>
            </w:r>
            <w:r w:rsidR="00F6717B" w:rsidRPr="00E521CD">
              <w:rPr>
                <w:rStyle w:val="Strong"/>
                <w:rFonts w:asciiTheme="minorHAnsi" w:hAnsiTheme="minorHAnsi" w:cstheme="minorHAnsi"/>
                <w:b w:val="0"/>
                <w:bCs w:val="0"/>
                <w:sz w:val="22"/>
                <w:szCs w:val="22"/>
              </w:rPr>
              <w:t>1.0 years</w:t>
            </w:r>
            <w:r w:rsidR="00F6717B" w:rsidRPr="00E521CD">
              <w:rPr>
                <w:rStyle w:val="Strong"/>
                <w:rFonts w:asciiTheme="minorHAnsi" w:hAnsiTheme="minorHAnsi" w:cstheme="minorHAnsi"/>
                <w:sz w:val="22"/>
                <w:szCs w:val="22"/>
              </w:rPr>
              <w:t xml:space="preserve"> </w:t>
            </w:r>
            <w:r w:rsidR="00F6717B" w:rsidRPr="00E521CD">
              <w:rPr>
                <w:rStyle w:val="Strong"/>
                <w:rFonts w:asciiTheme="minorHAnsi" w:hAnsiTheme="minorHAnsi" w:cstheme="minorHAnsi"/>
                <w:b w:val="0"/>
                <w:bCs w:val="0"/>
                <w:sz w:val="22"/>
                <w:szCs w:val="22"/>
              </w:rPr>
              <w:t xml:space="preserve">behind </w:t>
            </w:r>
            <w:r w:rsidR="00F6717B" w:rsidRPr="00E521CD">
              <w:rPr>
                <w:rStyle w:val="Strong"/>
                <w:rFonts w:asciiTheme="minorHAnsi" w:hAnsiTheme="minorHAnsi" w:cstheme="minorHAnsi"/>
                <w:b w:val="0"/>
                <w:bCs w:val="0"/>
                <w:sz w:val="22"/>
                <w:szCs w:val="22"/>
              </w:rPr>
              <w:lastRenderedPageBreak/>
              <w:t>in spelling</w:t>
            </w:r>
            <w:r w:rsidR="00F6717B" w:rsidRPr="00E521CD">
              <w:rPr>
                <w:rFonts w:asciiTheme="minorHAnsi" w:hAnsiTheme="minorHAnsi" w:cstheme="minorHAnsi"/>
                <w:sz w:val="22"/>
                <w:szCs w:val="22"/>
              </w:rPr>
              <w:t xml:space="preserve"> compared to their non-PP peers. The gap is most pronounced in </w:t>
            </w:r>
            <w:r w:rsidR="00F6717B" w:rsidRPr="00E521CD">
              <w:rPr>
                <w:rStyle w:val="Strong"/>
                <w:rFonts w:asciiTheme="minorHAnsi" w:hAnsiTheme="minorHAnsi" w:cstheme="minorHAnsi"/>
                <w:b w:val="0"/>
                <w:bCs w:val="0"/>
                <w:sz w:val="22"/>
                <w:szCs w:val="22"/>
              </w:rPr>
              <w:t>Year 7</w:t>
            </w:r>
            <w:r w:rsidR="00F6717B" w:rsidRPr="00E521CD">
              <w:rPr>
                <w:rFonts w:asciiTheme="minorHAnsi" w:hAnsiTheme="minorHAnsi" w:cstheme="minorHAnsi"/>
                <w:sz w:val="22"/>
                <w:szCs w:val="22"/>
              </w:rPr>
              <w:t>, where PP pupils are</w:t>
            </w:r>
            <w:r w:rsidR="00F6717B" w:rsidRPr="00E521CD">
              <w:rPr>
                <w:rFonts w:asciiTheme="minorHAnsi" w:hAnsiTheme="minorHAnsi" w:cstheme="minorHAnsi"/>
                <w:b/>
                <w:bCs/>
                <w:sz w:val="22"/>
                <w:szCs w:val="22"/>
              </w:rPr>
              <w:t xml:space="preserve"> </w:t>
            </w:r>
            <w:r w:rsidR="00F6717B" w:rsidRPr="00E521CD">
              <w:rPr>
                <w:rStyle w:val="Strong"/>
                <w:rFonts w:asciiTheme="minorHAnsi" w:hAnsiTheme="minorHAnsi" w:cstheme="minorHAnsi"/>
                <w:b w:val="0"/>
                <w:bCs w:val="0"/>
                <w:sz w:val="22"/>
                <w:szCs w:val="22"/>
              </w:rPr>
              <w:t>1.1 years behind in reading</w:t>
            </w:r>
            <w:r w:rsidR="00F6717B" w:rsidRPr="00E521CD">
              <w:rPr>
                <w:rFonts w:asciiTheme="minorHAnsi" w:hAnsiTheme="minorHAnsi" w:cstheme="minorHAnsi"/>
                <w:b/>
                <w:bCs/>
                <w:sz w:val="22"/>
                <w:szCs w:val="22"/>
              </w:rPr>
              <w:t xml:space="preserve"> </w:t>
            </w:r>
            <w:r w:rsidR="00F6717B" w:rsidRPr="00E521CD">
              <w:rPr>
                <w:rFonts w:asciiTheme="minorHAnsi" w:hAnsiTheme="minorHAnsi" w:cstheme="minorHAnsi"/>
                <w:sz w:val="22"/>
                <w:szCs w:val="22"/>
              </w:rPr>
              <w:t>and</w:t>
            </w:r>
            <w:r w:rsidR="00F6717B" w:rsidRPr="00E521CD">
              <w:rPr>
                <w:rFonts w:asciiTheme="minorHAnsi" w:hAnsiTheme="minorHAnsi" w:cstheme="minorHAnsi"/>
                <w:b/>
                <w:bCs/>
                <w:sz w:val="22"/>
                <w:szCs w:val="22"/>
              </w:rPr>
              <w:t xml:space="preserve"> </w:t>
            </w:r>
            <w:r w:rsidR="00F6717B" w:rsidRPr="00E521CD">
              <w:rPr>
                <w:rStyle w:val="Strong"/>
                <w:rFonts w:asciiTheme="minorHAnsi" w:hAnsiTheme="minorHAnsi" w:cstheme="minorHAnsi"/>
                <w:b w:val="0"/>
                <w:bCs w:val="0"/>
                <w:sz w:val="22"/>
                <w:szCs w:val="22"/>
              </w:rPr>
              <w:t>1.3 years behind in</w:t>
            </w:r>
            <w:r w:rsidR="00F6717B" w:rsidRPr="00E521CD">
              <w:rPr>
                <w:rStyle w:val="Strong"/>
                <w:rFonts w:asciiTheme="minorHAnsi" w:hAnsiTheme="minorHAnsi" w:cstheme="minorHAnsi"/>
                <w:sz w:val="22"/>
                <w:szCs w:val="22"/>
              </w:rPr>
              <w:t xml:space="preserve"> </w:t>
            </w:r>
            <w:r w:rsidR="00F6717B" w:rsidRPr="00E521CD">
              <w:rPr>
                <w:rStyle w:val="Strong"/>
                <w:rFonts w:asciiTheme="minorHAnsi" w:hAnsiTheme="minorHAnsi" w:cstheme="minorHAnsi"/>
                <w:b w:val="0"/>
                <w:bCs w:val="0"/>
                <w:sz w:val="22"/>
                <w:szCs w:val="22"/>
              </w:rPr>
              <w:t>spelling</w:t>
            </w:r>
            <w:r w:rsidR="001D211A" w:rsidRPr="00E521CD">
              <w:rPr>
                <w:rStyle w:val="Strong"/>
                <w:rFonts w:asciiTheme="minorHAnsi" w:hAnsiTheme="minorHAnsi" w:cstheme="minorHAnsi"/>
                <w:sz w:val="22"/>
                <w:szCs w:val="22"/>
              </w:rPr>
              <w:t>.</w:t>
            </w:r>
            <w:r w:rsidR="00E521CD" w:rsidRPr="00E521CD">
              <w:rPr>
                <w:rFonts w:asciiTheme="minorHAnsi" w:hAnsiTheme="minorHAnsi" w:cstheme="minorHAnsi"/>
                <w:sz w:val="22"/>
                <w:szCs w:val="22"/>
              </w:rPr>
              <w:t xml:space="preserve"> Although the gaps narrow slightly in Years 8 and 9, they remain evident into </w:t>
            </w:r>
            <w:r w:rsidR="00E521CD" w:rsidRPr="00E521CD">
              <w:rPr>
                <w:rStyle w:val="Strong"/>
                <w:rFonts w:asciiTheme="minorHAnsi" w:hAnsiTheme="minorHAnsi" w:cstheme="minorHAnsi"/>
                <w:b w:val="0"/>
                <w:bCs w:val="0"/>
                <w:sz w:val="22"/>
                <w:szCs w:val="22"/>
              </w:rPr>
              <w:t>Year 11</w:t>
            </w:r>
            <w:r w:rsidR="00E521CD" w:rsidRPr="00E521CD">
              <w:rPr>
                <w:rFonts w:asciiTheme="minorHAnsi" w:hAnsiTheme="minorHAnsi" w:cstheme="minorHAnsi"/>
                <w:b/>
                <w:bCs/>
                <w:sz w:val="22"/>
                <w:szCs w:val="22"/>
              </w:rPr>
              <w:t>,</w:t>
            </w:r>
            <w:r w:rsidR="00E521CD" w:rsidRPr="00E521CD">
              <w:rPr>
                <w:rFonts w:asciiTheme="minorHAnsi" w:hAnsiTheme="minorHAnsi" w:cstheme="minorHAnsi"/>
                <w:sz w:val="22"/>
                <w:szCs w:val="22"/>
              </w:rPr>
              <w:t xml:space="preserve"> where PP pupils still trail by </w:t>
            </w:r>
            <w:r w:rsidR="00E521CD" w:rsidRPr="00E521CD">
              <w:rPr>
                <w:rStyle w:val="Strong"/>
                <w:rFonts w:asciiTheme="minorHAnsi" w:hAnsiTheme="minorHAnsi" w:cstheme="minorHAnsi"/>
                <w:b w:val="0"/>
                <w:bCs w:val="0"/>
                <w:sz w:val="22"/>
                <w:szCs w:val="22"/>
              </w:rPr>
              <w:t>0.6 years in reading</w:t>
            </w:r>
            <w:r w:rsidR="00E521CD" w:rsidRPr="00E521CD">
              <w:rPr>
                <w:rFonts w:asciiTheme="minorHAnsi" w:hAnsiTheme="minorHAnsi" w:cstheme="minorHAnsi"/>
                <w:sz w:val="22"/>
                <w:szCs w:val="22"/>
              </w:rPr>
              <w:t xml:space="preserve"> and </w:t>
            </w:r>
            <w:r w:rsidR="00E521CD" w:rsidRPr="00E521CD">
              <w:rPr>
                <w:rStyle w:val="Strong"/>
                <w:rFonts w:asciiTheme="minorHAnsi" w:hAnsiTheme="minorHAnsi" w:cstheme="minorHAnsi"/>
                <w:b w:val="0"/>
                <w:bCs w:val="0"/>
                <w:sz w:val="22"/>
                <w:szCs w:val="22"/>
              </w:rPr>
              <w:t>0.9 years in spelling</w:t>
            </w:r>
            <w:r w:rsidR="00E521CD" w:rsidRPr="00E521CD">
              <w:rPr>
                <w:rFonts w:asciiTheme="minorHAnsi" w:hAnsiTheme="minorHAnsi" w:cstheme="minorHAnsi"/>
                <w:b/>
                <w:bCs/>
                <w:sz w:val="22"/>
                <w:szCs w:val="22"/>
              </w:rPr>
              <w:t>.</w:t>
            </w:r>
            <w:r w:rsidR="00E521CD" w:rsidRPr="00E521CD">
              <w:rPr>
                <w:rFonts w:asciiTheme="minorHAnsi" w:hAnsiTheme="minorHAnsi" w:cstheme="minorHAnsi"/>
                <w:sz w:val="22"/>
                <w:szCs w:val="22"/>
              </w:rPr>
              <w:t xml:space="preserve"> This pattern indicates a need for </w:t>
            </w:r>
            <w:r w:rsidR="00E521CD" w:rsidRPr="00E521CD">
              <w:rPr>
                <w:rStyle w:val="Strong"/>
                <w:rFonts w:asciiTheme="minorHAnsi" w:hAnsiTheme="minorHAnsi" w:cstheme="minorHAnsi"/>
                <w:b w:val="0"/>
                <w:bCs w:val="0"/>
                <w:sz w:val="22"/>
                <w:szCs w:val="22"/>
              </w:rPr>
              <w:t>targeted literacy intervention</w:t>
            </w:r>
            <w:r w:rsidR="00E521CD" w:rsidRPr="00E521CD">
              <w:rPr>
                <w:rFonts w:asciiTheme="minorHAnsi" w:hAnsiTheme="minorHAnsi" w:cstheme="minorHAnsi"/>
                <w:sz w:val="22"/>
                <w:szCs w:val="22"/>
              </w:rPr>
              <w:t>, particularly in Key Stage 3, to close foundational gaps and support long-term progress.</w:t>
            </w:r>
          </w:p>
        </w:tc>
      </w:tr>
      <w:tr w:rsidR="00E66558" w14:paraId="2A7D54F5" w14:textId="77777777" w:rsidTr="09F4AA1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11311F" w:rsidRDefault="009D71E8"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510F824E" w:rsidR="00E66558" w:rsidRPr="00B7479E" w:rsidRDefault="5B0C3A69"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t>Internal quality assurance and pupil voice highlight significant gaps in pupils’ cultural and social capital, which restrict their prior knowledge and limit full engagement with the curriculum.</w:t>
            </w:r>
          </w:p>
        </w:tc>
      </w:tr>
      <w:tr w:rsidR="00E66558" w14:paraId="2A7D54F8" w14:textId="77777777" w:rsidTr="09F4AA1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Pr="0011311F" w:rsidRDefault="009D71E8"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6E6B6041" w:rsidR="00E66558" w:rsidRPr="00D36E8A" w:rsidRDefault="2E16953B" w:rsidP="09F4AA1C">
            <w:pPr>
              <w:shd w:val="clear" w:color="auto" w:fill="FFFFFF" w:themeFill="background1"/>
              <w:suppressAutoHyphens w:val="0"/>
              <w:spacing w:after="0" w:line="240" w:lineRule="auto"/>
              <w:rPr>
                <w:rFonts w:asciiTheme="minorHAnsi" w:hAnsiTheme="minorHAnsi" w:cstheme="minorBidi"/>
                <w:color w:val="auto"/>
                <w:sz w:val="22"/>
                <w:szCs w:val="22"/>
              </w:rPr>
            </w:pPr>
            <w:r w:rsidRPr="09F4AA1C">
              <w:rPr>
                <w:rFonts w:asciiTheme="minorHAnsi" w:hAnsiTheme="minorHAnsi" w:cstheme="minorBidi"/>
                <w:sz w:val="22"/>
                <w:szCs w:val="22"/>
              </w:rPr>
              <w:t xml:space="preserve">Our in-house tracking shows that, overall, Pupil Premium pupils to have lower attendance rates compared to other pupils. During the tracked period, </w:t>
            </w:r>
            <w:r w:rsidR="0E80E194" w:rsidRPr="09F4AA1C">
              <w:rPr>
                <w:rFonts w:asciiTheme="minorHAnsi" w:hAnsiTheme="minorHAnsi" w:cstheme="minorBidi"/>
                <w:sz w:val="22"/>
                <w:szCs w:val="22"/>
              </w:rPr>
              <w:t xml:space="preserve">a significantly higher </w:t>
            </w:r>
            <w:r w:rsidR="24EF75D6" w:rsidRPr="09F4AA1C">
              <w:rPr>
                <w:rFonts w:asciiTheme="minorHAnsi" w:hAnsiTheme="minorHAnsi" w:cstheme="minorBidi"/>
                <w:sz w:val="22"/>
                <w:szCs w:val="22"/>
              </w:rPr>
              <w:t>proportion</w:t>
            </w:r>
            <w:r w:rsidR="0E80E194" w:rsidRPr="09F4AA1C">
              <w:rPr>
                <w:rFonts w:asciiTheme="minorHAnsi" w:hAnsiTheme="minorHAnsi" w:cstheme="minorBidi"/>
                <w:sz w:val="22"/>
                <w:szCs w:val="22"/>
              </w:rPr>
              <w:t xml:space="preserve"> of DP pupils were considered persistently absent compared to the amount</w:t>
            </w:r>
            <w:r w:rsidRPr="09F4AA1C">
              <w:rPr>
                <w:rFonts w:asciiTheme="minorHAnsi" w:hAnsiTheme="minorHAnsi" w:cstheme="minorBidi"/>
                <w:sz w:val="22"/>
                <w:szCs w:val="22"/>
              </w:rPr>
              <w:t xml:space="preserve"> of their non-disadvantaged peers.</w:t>
            </w:r>
            <w:r w:rsidR="1A9343A7" w:rsidRPr="09F4AA1C">
              <w:rPr>
                <w:rFonts w:asciiTheme="minorHAnsi" w:hAnsiTheme="minorHAnsi" w:cstheme="minorBidi"/>
                <w:sz w:val="22"/>
                <w:szCs w:val="22"/>
              </w:rPr>
              <w:t xml:space="preserve"> </w:t>
            </w:r>
            <w:r w:rsidR="1A9343A7" w:rsidRPr="09F4AA1C">
              <w:rPr>
                <w:rFonts w:asciiTheme="minorHAnsi" w:hAnsiTheme="minorHAnsi" w:cstheme="minorBidi"/>
                <w:color w:val="auto"/>
                <w:sz w:val="22"/>
                <w:szCs w:val="22"/>
              </w:rPr>
              <w:t>Persistent absenteeism of disadvantaged students remains above that of non-disadvantaged students</w:t>
            </w:r>
          </w:p>
        </w:tc>
      </w:tr>
      <w:tr w:rsidR="00E66558" w14:paraId="2A7D54FB" w14:textId="77777777" w:rsidTr="09F4AA1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Pr="0011311F" w:rsidRDefault="009D71E8"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26A8E6EB" w:rsidR="00E66558" w:rsidRPr="00B7479E" w:rsidRDefault="4BC27E58"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t>Pupils are encouraged to strengthen their ability to persevere through challenges and take greater ownership of their learning. This involves cultivating resilience—responding positively to setbacks, maintaining motivation, and adapting to difficulties—and building independent learning strategies such as effective time management, self-directed study, and reflective practice.</w:t>
            </w:r>
          </w:p>
        </w:tc>
      </w:tr>
      <w:tr w:rsidR="00E66558" w14:paraId="2A7D54FE" w14:textId="77777777" w:rsidTr="09F4AA1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Pr="0011311F" w:rsidRDefault="009D71E8" w:rsidP="09F4AA1C">
            <w:pPr>
              <w:pStyle w:val="TableRow"/>
              <w:ind w:left="0" w:right="0"/>
              <w:rPr>
                <w:rFonts w:asciiTheme="minorHAnsi" w:hAnsiTheme="minorHAnsi" w:cstheme="minorBidi"/>
                <w:sz w:val="22"/>
                <w:szCs w:val="22"/>
              </w:rPr>
            </w:pPr>
            <w:bookmarkStart w:id="16" w:name="_Toc443397160"/>
            <w:r w:rsidRPr="09F4AA1C">
              <w:rPr>
                <w:rFonts w:asciiTheme="minorHAnsi" w:hAnsiTheme="minorHAnsi" w:cstheme="minorBidi"/>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6366757E" w:rsidR="007B1C4D" w:rsidRPr="00B7479E" w:rsidRDefault="1191B25D"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t>The school is committed to strengthening its pastoral provision for pupils identified as being at risk of suspension or permanent exclusion. This involves developing targeted interventions that address underlying behavioural, emotional, or social needs, and ensuring early identification and support through multi-agency collaboration, mentoring, and restorative approaches. By expanding these strategies, the school aims to reduce exclusion rates, improve pupil engagement, and promote long-term inclusion and success.</w:t>
            </w:r>
          </w:p>
        </w:tc>
      </w:tr>
      <w:tr w:rsidR="0083439F" w14:paraId="6FA028E4" w14:textId="77777777" w:rsidTr="09F4AA1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F669" w14:textId="6847C543" w:rsidR="0083439F" w:rsidRPr="0011311F" w:rsidRDefault="2E16953B"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1ECA5" w14:textId="1DA1D5E2" w:rsidR="0083439F" w:rsidRPr="00B7479E" w:rsidRDefault="0FC4491B"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t>Our pastoral records indicate some disadvantaged pupils require additional school support for anxiety, low self-esteem, and behaviour management.</w:t>
            </w:r>
          </w:p>
        </w:tc>
      </w:tr>
    </w:tbl>
    <w:p w14:paraId="2A7D54FF" w14:textId="77777777" w:rsidR="00E66558" w:rsidRDefault="009D71E8">
      <w:pPr>
        <w:pStyle w:val="Heading2"/>
        <w:spacing w:before="600"/>
      </w:pPr>
      <w:r>
        <w:t xml:space="preserve">Intended outcomes </w:t>
      </w:r>
    </w:p>
    <w:p w14:paraId="2A7D5500" w14:textId="77777777" w:rsidR="00E66558" w:rsidRDefault="009D71E8" w:rsidP="09F4AA1C">
      <w:pPr>
        <w:rPr>
          <w:color w:val="auto"/>
        </w:rPr>
      </w:pPr>
      <w:r w:rsidRPr="09F4AA1C">
        <w:rPr>
          <w:color w:val="auto"/>
        </w:rPr>
        <w:t xml:space="preserve">This explains the outcomes we are aiming for </w:t>
      </w:r>
      <w:r w:rsidRPr="09F4AA1C">
        <w:rPr>
          <w:b/>
          <w:bCs/>
          <w:color w:val="auto"/>
        </w:rPr>
        <w:t>by the end of our current strategy plan</w:t>
      </w:r>
      <w:r w:rsidRPr="09F4AA1C">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9F4AA1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83439F" w14:paraId="2A7D5509" w14:textId="77777777" w:rsidTr="09F4AA1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2F3B3628" w:rsidR="0083439F" w:rsidRPr="0011311F" w:rsidRDefault="2E16953B"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t xml:space="preserve">Raise attainment and progress of disadvantaged pupils through the implementation of a broad and balanced </w:t>
            </w:r>
            <w:r w:rsidR="5F38103D" w:rsidRPr="09F4AA1C">
              <w:rPr>
                <w:rFonts w:asciiTheme="minorHAnsi" w:hAnsiTheme="minorHAnsi" w:cstheme="minorBidi"/>
                <w:sz w:val="22"/>
                <w:szCs w:val="22"/>
              </w:rPr>
              <w:t xml:space="preserve">and challenging </w:t>
            </w:r>
            <w:r w:rsidRPr="09F4AA1C">
              <w:rPr>
                <w:rFonts w:asciiTheme="minorHAnsi" w:hAnsiTheme="minorHAnsi" w:cstheme="minorBidi"/>
                <w:sz w:val="22"/>
                <w:szCs w:val="22"/>
              </w:rPr>
              <w:t>curriculum, which takes account of knowledge gaps.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8" w14:textId="62993ECB" w:rsidR="0083439F" w:rsidRPr="0011311F" w:rsidRDefault="2E16953B"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t>Disadvantaged pupils will perform in line with other pupils nationally.</w:t>
            </w:r>
            <w:r w:rsidR="4479C397" w:rsidRPr="09F4AA1C">
              <w:rPr>
                <w:rFonts w:asciiTheme="minorHAnsi" w:hAnsiTheme="minorHAnsi" w:cstheme="minorBidi"/>
                <w:sz w:val="22"/>
                <w:szCs w:val="22"/>
              </w:rPr>
              <w:t xml:space="preserve"> Disadvantaged pupils make sustained academic progress and achieve in line with their peers, supported by a broad, balanced, and challenging curriculum that explicitly addresses gaps in prior knowledge and skills.</w:t>
            </w:r>
          </w:p>
        </w:tc>
      </w:tr>
      <w:tr w:rsidR="0083439F" w14:paraId="2A7D550C" w14:textId="77777777" w:rsidTr="09F4AA1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67FD4936" w:rsidR="0083439F" w:rsidRPr="0011311F" w:rsidRDefault="430C03C0"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t>Reading development is embedded throughout the curriculum, with structured support in place to boost progress for pupils who struggle most. Tailored interventions ensure these learners build fluency, comprehension, and confidence, enabling them to access subject content more effectively.</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B" w14:textId="30021137" w:rsidR="00722B01" w:rsidRPr="0011311F" w:rsidRDefault="644AC70C"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t xml:space="preserve">Pupils with weaker reading skills make measurable progress in fluency, comprehension, and confidence through targeted interventions. Reading is consistently integrated across subjects, enabling improved access to curriculum content and narrowing attainment gaps over </w:t>
            </w:r>
            <w:r w:rsidRPr="09F4AA1C">
              <w:rPr>
                <w:rFonts w:asciiTheme="minorHAnsi" w:hAnsiTheme="minorHAnsi" w:cstheme="minorBidi"/>
                <w:sz w:val="22"/>
                <w:szCs w:val="22"/>
              </w:rPr>
              <w:lastRenderedPageBreak/>
              <w:t xml:space="preserve">time. </w:t>
            </w:r>
            <w:r w:rsidR="1F120C42" w:rsidRPr="09F4AA1C">
              <w:rPr>
                <w:rFonts w:asciiTheme="minorHAnsi" w:hAnsiTheme="minorHAnsi" w:cstheme="minorBidi"/>
                <w:sz w:val="22"/>
                <w:szCs w:val="22"/>
              </w:rPr>
              <w:t>Reading age of disadvantaged pupils rapidly improves from entry to the school. Gap between disadvantaged and other pupils narrows from year 7 onwards. QA demonstrates an effort for reading skills to be developed in the classroom and an increased engagement of pupils in reading activities.</w:t>
            </w:r>
          </w:p>
        </w:tc>
      </w:tr>
      <w:tr w:rsidR="0083439F" w14:paraId="5F2AC36A" w14:textId="77777777" w:rsidTr="09F4AA1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867C6" w14:textId="06979C44" w:rsidR="0083439F" w:rsidRPr="0011311F" w:rsidRDefault="2E16953B"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lastRenderedPageBreak/>
              <w:t>To achieve and sustain improved attendance for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29F9E" w14:textId="2F5B50B9" w:rsidR="0083439F" w:rsidRPr="0011311F" w:rsidRDefault="2E16953B" w:rsidP="09F4AA1C">
            <w:pPr>
              <w:pStyle w:val="TableRowCentered"/>
              <w:jc w:val="left"/>
              <w:rPr>
                <w:rFonts w:asciiTheme="minorHAnsi" w:hAnsiTheme="minorHAnsi" w:cstheme="minorBidi"/>
                <w:sz w:val="22"/>
                <w:szCs w:val="22"/>
              </w:rPr>
            </w:pPr>
            <w:r w:rsidRPr="09F4AA1C">
              <w:rPr>
                <w:rFonts w:asciiTheme="minorHAnsi" w:hAnsiTheme="minorHAnsi" w:cstheme="minorBidi"/>
                <w:sz w:val="22"/>
                <w:szCs w:val="22"/>
              </w:rPr>
              <w:t>The overall absence gap between non disadvantaged and disadvantaged pupils to be 0% by 202</w:t>
            </w:r>
            <w:r w:rsidR="00657DB4" w:rsidRPr="09F4AA1C">
              <w:rPr>
                <w:rFonts w:asciiTheme="minorHAnsi" w:hAnsiTheme="minorHAnsi" w:cstheme="minorBidi"/>
                <w:sz w:val="22"/>
                <w:szCs w:val="22"/>
              </w:rPr>
              <w:t>6</w:t>
            </w:r>
            <w:r w:rsidRPr="09F4AA1C">
              <w:rPr>
                <w:rFonts w:asciiTheme="minorHAnsi" w:hAnsiTheme="minorHAnsi" w:cstheme="minorBidi"/>
                <w:sz w:val="22"/>
                <w:szCs w:val="22"/>
              </w:rPr>
              <w:t>/2</w:t>
            </w:r>
            <w:r w:rsidR="00657DB4" w:rsidRPr="09F4AA1C">
              <w:rPr>
                <w:rFonts w:asciiTheme="minorHAnsi" w:hAnsiTheme="minorHAnsi" w:cstheme="minorBidi"/>
                <w:sz w:val="22"/>
                <w:szCs w:val="22"/>
              </w:rPr>
              <w:t>7</w:t>
            </w:r>
            <w:r w:rsidRPr="09F4AA1C">
              <w:rPr>
                <w:rFonts w:asciiTheme="minorHAnsi" w:hAnsiTheme="minorHAnsi" w:cstheme="minorBidi"/>
                <w:sz w:val="22"/>
                <w:szCs w:val="22"/>
              </w:rPr>
              <w:t>.</w:t>
            </w:r>
          </w:p>
          <w:p w14:paraId="47D20586" w14:textId="528348DB" w:rsidR="0083439F" w:rsidRPr="0011311F" w:rsidRDefault="2E16953B" w:rsidP="09F4AA1C">
            <w:pPr>
              <w:pStyle w:val="TableRowCentered"/>
              <w:jc w:val="left"/>
              <w:rPr>
                <w:rFonts w:asciiTheme="minorHAnsi" w:hAnsiTheme="minorHAnsi" w:cstheme="minorBidi"/>
                <w:sz w:val="22"/>
                <w:szCs w:val="22"/>
              </w:rPr>
            </w:pPr>
            <w:r w:rsidRPr="09F4AA1C">
              <w:rPr>
                <w:rFonts w:asciiTheme="minorHAnsi" w:hAnsiTheme="minorHAnsi" w:cstheme="minorBidi"/>
                <w:sz w:val="22"/>
                <w:szCs w:val="22"/>
              </w:rPr>
              <w:t>The percentage of pupils persistently absent being below national average and the gap between disadvantaged and other pupils being 0% by 202</w:t>
            </w:r>
            <w:r w:rsidR="21E295AD" w:rsidRPr="09F4AA1C">
              <w:rPr>
                <w:rFonts w:asciiTheme="minorHAnsi" w:hAnsiTheme="minorHAnsi" w:cstheme="minorBidi"/>
                <w:sz w:val="22"/>
                <w:szCs w:val="22"/>
              </w:rPr>
              <w:t>7/28</w:t>
            </w:r>
          </w:p>
        </w:tc>
      </w:tr>
      <w:tr w:rsidR="0083439F" w14:paraId="753D2294" w14:textId="77777777" w:rsidTr="09F4AA1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3A07B" w14:textId="27F2A02A" w:rsidR="0083439F" w:rsidRPr="0011311F" w:rsidRDefault="498C2E35"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t>Enhancing access to enrichment and extracurricular opportunities for disadvantaged pupils is a key priority. By actively engaging in these experiences, Pupil Premium students broaden their cultural awareness, strengthen social skills, and develop greater confidence—factors that positively influence their academic engagement and overall learning.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24FA" w14:textId="73AAB857" w:rsidR="0083439F" w:rsidRPr="0011311F" w:rsidRDefault="2E16953B" w:rsidP="09F4AA1C">
            <w:pPr>
              <w:pStyle w:val="TableRowCentered"/>
              <w:jc w:val="left"/>
              <w:rPr>
                <w:rFonts w:asciiTheme="minorHAnsi" w:hAnsiTheme="minorHAnsi" w:cstheme="minorBidi"/>
                <w:sz w:val="22"/>
                <w:szCs w:val="22"/>
              </w:rPr>
            </w:pPr>
            <w:r w:rsidRPr="09F4AA1C">
              <w:rPr>
                <w:rFonts w:asciiTheme="minorHAnsi" w:hAnsiTheme="minorHAnsi" w:cstheme="minorBidi"/>
                <w:sz w:val="22"/>
                <w:szCs w:val="22"/>
              </w:rPr>
              <w:t>Attendance data at extra-curricular activities demonstrates that disadvantaged pupils are proportionally represented at these events (</w:t>
            </w:r>
            <w:r w:rsidR="64B45927" w:rsidRPr="09F4AA1C">
              <w:rPr>
                <w:rFonts w:asciiTheme="minorHAnsi" w:hAnsiTheme="minorHAnsi" w:cstheme="minorBidi"/>
                <w:sz w:val="22"/>
                <w:szCs w:val="22"/>
              </w:rPr>
              <w:t>42</w:t>
            </w:r>
            <w:r w:rsidRPr="09F4AA1C">
              <w:rPr>
                <w:rFonts w:asciiTheme="minorHAnsi" w:hAnsiTheme="minorHAnsi" w:cstheme="minorBidi"/>
                <w:sz w:val="22"/>
                <w:szCs w:val="22"/>
              </w:rPr>
              <w:t>% in 202</w:t>
            </w:r>
            <w:r w:rsidR="21E295AD" w:rsidRPr="09F4AA1C">
              <w:rPr>
                <w:rFonts w:asciiTheme="minorHAnsi" w:hAnsiTheme="minorHAnsi" w:cstheme="minorBidi"/>
                <w:sz w:val="22"/>
                <w:szCs w:val="22"/>
              </w:rPr>
              <w:t>5</w:t>
            </w:r>
            <w:r w:rsidRPr="09F4AA1C">
              <w:rPr>
                <w:rFonts w:asciiTheme="minorHAnsi" w:hAnsiTheme="minorHAnsi" w:cstheme="minorBidi"/>
                <w:sz w:val="22"/>
                <w:szCs w:val="22"/>
              </w:rPr>
              <w:t>/2</w:t>
            </w:r>
            <w:r w:rsidR="21E295AD" w:rsidRPr="09F4AA1C">
              <w:rPr>
                <w:rFonts w:asciiTheme="minorHAnsi" w:hAnsiTheme="minorHAnsi" w:cstheme="minorBidi"/>
                <w:sz w:val="22"/>
                <w:szCs w:val="22"/>
              </w:rPr>
              <w:t>6</w:t>
            </w:r>
            <w:r w:rsidRPr="09F4AA1C">
              <w:rPr>
                <w:rFonts w:asciiTheme="minorHAnsi" w:hAnsiTheme="minorHAnsi" w:cstheme="minorBidi"/>
                <w:sz w:val="22"/>
                <w:szCs w:val="22"/>
              </w:rPr>
              <w:t>)</w:t>
            </w:r>
          </w:p>
          <w:p w14:paraId="10505798" w14:textId="7082AF48" w:rsidR="0083439F" w:rsidRPr="0011311F" w:rsidRDefault="2E16953B" w:rsidP="09F4AA1C">
            <w:pPr>
              <w:pStyle w:val="TableRowCentered"/>
              <w:jc w:val="left"/>
              <w:rPr>
                <w:rFonts w:asciiTheme="minorHAnsi" w:hAnsiTheme="minorHAnsi" w:cstheme="minorBidi"/>
                <w:sz w:val="22"/>
                <w:szCs w:val="22"/>
              </w:rPr>
            </w:pPr>
            <w:r w:rsidRPr="09F4AA1C">
              <w:rPr>
                <w:rFonts w:asciiTheme="minorHAnsi" w:hAnsiTheme="minorHAnsi" w:cstheme="minorBidi"/>
                <w:sz w:val="22"/>
                <w:szCs w:val="22"/>
              </w:rPr>
              <w:t xml:space="preserve">Where barriers have existed to engagement in extra-curricular activities, clear strategies are evident </w:t>
            </w:r>
            <w:r w:rsidR="630EE14E" w:rsidRPr="09F4AA1C">
              <w:rPr>
                <w:rFonts w:asciiTheme="minorHAnsi" w:hAnsiTheme="minorHAnsi" w:cstheme="minorBidi"/>
                <w:sz w:val="22"/>
                <w:szCs w:val="22"/>
              </w:rPr>
              <w:t>to</w:t>
            </w:r>
            <w:r w:rsidRPr="09F4AA1C">
              <w:rPr>
                <w:rFonts w:asciiTheme="minorHAnsi" w:hAnsiTheme="minorHAnsi" w:cstheme="minorBidi"/>
                <w:sz w:val="22"/>
                <w:szCs w:val="22"/>
              </w:rPr>
              <w:t xml:space="preserve"> overcome them.</w:t>
            </w:r>
          </w:p>
        </w:tc>
      </w:tr>
      <w:tr w:rsidR="0083439F" w14:paraId="21397EE8" w14:textId="77777777" w:rsidTr="09F4AA1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78FEF" w14:textId="2AD764EE" w:rsidR="0083439F" w:rsidRPr="0011311F" w:rsidRDefault="5D7FA2DD" w:rsidP="09F4AA1C">
            <w:pPr>
              <w:pStyle w:val="TableRow"/>
              <w:ind w:left="0" w:right="0"/>
              <w:rPr>
                <w:rFonts w:asciiTheme="minorHAnsi" w:hAnsiTheme="minorHAnsi" w:cstheme="minorBidi"/>
                <w:sz w:val="22"/>
                <w:szCs w:val="22"/>
              </w:rPr>
            </w:pPr>
            <w:r w:rsidRPr="09F4AA1C">
              <w:rPr>
                <w:rFonts w:asciiTheme="minorHAnsi" w:hAnsiTheme="minorHAnsi" w:cstheme="minorBidi"/>
                <w:sz w:val="22"/>
                <w:szCs w:val="22"/>
              </w:rPr>
              <w:t>Strengthen academic outcomes for pupils with SEND by delivering targeted, inclusive support—prioritising those facing additional disadvantage—to ensure sustained progress and equitable access to learning.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99798" w14:textId="0F92707A" w:rsidR="0083439F" w:rsidRPr="0011311F" w:rsidRDefault="54CF733D" w:rsidP="09F4AA1C">
            <w:pPr>
              <w:pStyle w:val="TableRowCentered"/>
              <w:jc w:val="left"/>
              <w:rPr>
                <w:rFonts w:asciiTheme="minorHAnsi" w:hAnsiTheme="minorHAnsi" w:cstheme="minorBidi"/>
                <w:sz w:val="22"/>
                <w:szCs w:val="22"/>
              </w:rPr>
            </w:pPr>
            <w:r w:rsidRPr="09F4AA1C">
              <w:rPr>
                <w:rFonts w:asciiTheme="minorHAnsi" w:hAnsiTheme="minorHAnsi" w:cstheme="minorBidi"/>
                <w:sz w:val="22"/>
                <w:szCs w:val="22"/>
              </w:rPr>
              <w:t xml:space="preserve">KS4 outcomes show that disadvantaged pupils achieve in line with national benchmarks for non-disadvantaged peers. Progress 8 </w:t>
            </w:r>
            <w:r w:rsidR="70C08ADD" w:rsidRPr="09F4AA1C">
              <w:rPr>
                <w:rFonts w:asciiTheme="minorHAnsi" w:hAnsiTheme="minorHAnsi" w:cstheme="minorBidi"/>
                <w:sz w:val="22"/>
                <w:szCs w:val="22"/>
              </w:rPr>
              <w:t xml:space="preserve">(where available) </w:t>
            </w:r>
            <w:r w:rsidRPr="09F4AA1C">
              <w:rPr>
                <w:rFonts w:asciiTheme="minorHAnsi" w:hAnsiTheme="minorHAnsi" w:cstheme="minorBidi"/>
                <w:sz w:val="22"/>
                <w:szCs w:val="22"/>
              </w:rPr>
              <w:t>scores for SEND pupils demonstrate sustained improvement, reflecting effective support and inclusive practice.</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premium funding </w:t>
      </w:r>
      <w:r w:rsidRPr="09F4AA1C">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21929DE" w:rsidR="00E66558" w:rsidRDefault="009D71E8">
      <w:r>
        <w:t>Budgeted cost: £</w:t>
      </w:r>
      <w:r w:rsidR="00085C40">
        <w:t>100</w:t>
      </w:r>
      <w:r w:rsidR="002D4FF1">
        <w:t>,</w:t>
      </w:r>
      <w:r w:rsidR="760BFBCA">
        <w:t>0</w:t>
      </w:r>
      <w:r w:rsidR="002D4FF1">
        <w:t>00</w:t>
      </w:r>
    </w:p>
    <w:tbl>
      <w:tblPr>
        <w:tblW w:w="5000" w:type="pct"/>
        <w:tblCellMar>
          <w:left w:w="10" w:type="dxa"/>
          <w:right w:w="10" w:type="dxa"/>
        </w:tblCellMar>
        <w:tblLook w:val="04A0" w:firstRow="1" w:lastRow="0" w:firstColumn="1" w:lastColumn="0" w:noHBand="0" w:noVBand="1"/>
      </w:tblPr>
      <w:tblGrid>
        <w:gridCol w:w="2972"/>
        <w:gridCol w:w="3970"/>
        <w:gridCol w:w="2544"/>
      </w:tblGrid>
      <w:tr w:rsidR="00E66558" w14:paraId="2A7D5519" w14:textId="77777777" w:rsidTr="09F4AA1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83439F" w:rsidRPr="00A56151" w14:paraId="2A7D5521" w14:textId="77777777" w:rsidTr="09F4AA1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E" w14:textId="3552AE4C" w:rsidR="0083439F" w:rsidRPr="00B80A45" w:rsidRDefault="24EF75D6" w:rsidP="09F4AA1C">
            <w:pPr>
              <w:pStyle w:val="TableRow"/>
              <w:ind w:left="0" w:right="0"/>
              <w:rPr>
                <w:rFonts w:asciiTheme="minorHAnsi" w:hAnsiTheme="minorHAnsi" w:cstheme="minorBidi"/>
                <w:i/>
                <w:iCs/>
                <w:color w:val="000000" w:themeColor="text1"/>
                <w:sz w:val="22"/>
                <w:szCs w:val="22"/>
              </w:rPr>
            </w:pPr>
            <w:r w:rsidRPr="00B80A45">
              <w:rPr>
                <w:rFonts w:asciiTheme="minorHAnsi" w:hAnsiTheme="minorHAnsi" w:cstheme="minorBidi"/>
                <w:color w:val="000000" w:themeColor="text1"/>
                <w:sz w:val="22"/>
                <w:szCs w:val="22"/>
              </w:rPr>
              <w:t>Prioritising</w:t>
            </w:r>
            <w:r w:rsidR="6E54F9F4" w:rsidRPr="00B80A45">
              <w:rPr>
                <w:rFonts w:asciiTheme="minorHAnsi" w:hAnsiTheme="minorHAnsi" w:cstheme="minorBidi"/>
                <w:color w:val="000000" w:themeColor="text1"/>
                <w:sz w:val="22"/>
                <w:szCs w:val="22"/>
              </w:rPr>
              <w:t xml:space="preserve"> a more refined and responsive approach to teaching in core subjects, underpinned by a sharper </w:t>
            </w:r>
            <w:r w:rsidR="6E54F9F4" w:rsidRPr="00B80A45">
              <w:rPr>
                <w:rFonts w:asciiTheme="minorHAnsi" w:hAnsiTheme="minorHAnsi" w:cstheme="minorBidi"/>
                <w:color w:val="000000" w:themeColor="text1"/>
                <w:sz w:val="22"/>
                <w:szCs w:val="22"/>
              </w:rPr>
              <w:lastRenderedPageBreak/>
              <w:t>focus o</w:t>
            </w:r>
            <w:r w:rsidR="004E1423">
              <w:rPr>
                <w:rFonts w:asciiTheme="minorHAnsi" w:hAnsiTheme="minorHAnsi" w:cstheme="minorBidi"/>
                <w:color w:val="000000" w:themeColor="text1"/>
                <w:sz w:val="22"/>
                <w:szCs w:val="22"/>
              </w:rPr>
              <w:t>n assessment</w:t>
            </w:r>
            <w:r w:rsidR="6E54F9F4" w:rsidRPr="00B80A45">
              <w:rPr>
                <w:rFonts w:asciiTheme="minorHAnsi" w:hAnsiTheme="minorHAnsi" w:cstheme="minorBidi"/>
                <w:color w:val="000000" w:themeColor="text1"/>
                <w:sz w:val="22"/>
                <w:szCs w:val="22"/>
              </w:rPr>
              <w:t xml:space="preserve">. This enables </w:t>
            </w:r>
            <w:r w:rsidR="2654AB50" w:rsidRPr="00B80A45">
              <w:rPr>
                <w:rFonts w:asciiTheme="minorHAnsi" w:hAnsiTheme="minorHAnsi" w:cstheme="minorBidi"/>
                <w:color w:val="000000" w:themeColor="text1"/>
                <w:sz w:val="22"/>
                <w:szCs w:val="22"/>
              </w:rPr>
              <w:t>us</w:t>
            </w:r>
            <w:r w:rsidR="6E54F9F4" w:rsidRPr="00B80A45">
              <w:rPr>
                <w:rFonts w:asciiTheme="minorHAnsi" w:hAnsiTheme="minorHAnsi" w:cstheme="minorBidi"/>
                <w:color w:val="000000" w:themeColor="text1"/>
                <w:sz w:val="22"/>
                <w:szCs w:val="22"/>
              </w:rPr>
              <w:t xml:space="preserve"> to pinpoint areas where pupils may lack understanding, apply tailored support strategies, and guide learners in recognising and addressing their individual learning needs across the curriculum.</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BD006" w14:textId="2D86B575" w:rsidR="00D8568C" w:rsidRPr="00A56151" w:rsidRDefault="57A92B5D" w:rsidP="09F4AA1C">
            <w:pPr>
              <w:pStyle w:val="TableRowCentered"/>
              <w:ind w:left="0" w:right="0"/>
              <w:jc w:val="left"/>
              <w:rPr>
                <w:rStyle w:val="Emphasis"/>
                <w:rFonts w:asciiTheme="minorHAnsi" w:hAnsiTheme="minorHAnsi" w:cstheme="minorBidi"/>
                <w:sz w:val="22"/>
                <w:szCs w:val="22"/>
              </w:rPr>
            </w:pPr>
            <w:r w:rsidRPr="09F4AA1C">
              <w:rPr>
                <w:rFonts w:asciiTheme="minorHAnsi" w:hAnsiTheme="minorHAnsi" w:cstheme="minorBidi"/>
                <w:sz w:val="22"/>
                <w:szCs w:val="22"/>
              </w:rPr>
              <w:lastRenderedPageBreak/>
              <w:t>The EEF highlights that</w:t>
            </w:r>
          </w:p>
          <w:p w14:paraId="219AB6D7" w14:textId="77777777" w:rsidR="0083439F" w:rsidRPr="00A56151" w:rsidRDefault="0D48AFA2" w:rsidP="09F4AA1C">
            <w:pPr>
              <w:pStyle w:val="TableRowCentered"/>
              <w:ind w:left="0" w:right="0"/>
              <w:jc w:val="left"/>
              <w:rPr>
                <w:rFonts w:asciiTheme="minorHAnsi" w:hAnsiTheme="minorHAnsi" w:cstheme="minorBidi"/>
                <w:sz w:val="22"/>
                <w:szCs w:val="22"/>
              </w:rPr>
            </w:pPr>
            <w:r w:rsidRPr="09F4AA1C">
              <w:rPr>
                <w:rStyle w:val="Emphasis"/>
                <w:rFonts w:asciiTheme="minorHAnsi" w:hAnsiTheme="minorHAnsi" w:cstheme="minorBidi"/>
                <w:sz w:val="22"/>
                <w:szCs w:val="22"/>
              </w:rPr>
              <w:t>“great teaching is the most important lever schools have to improve outcomes for their pupils”</w:t>
            </w:r>
            <w:r w:rsidRPr="09F4AA1C">
              <w:rPr>
                <w:rFonts w:asciiTheme="minorHAnsi" w:hAnsiTheme="minorHAnsi" w:cstheme="minorBidi"/>
                <w:sz w:val="22"/>
                <w:szCs w:val="22"/>
              </w:rPr>
              <w:t>.</w:t>
            </w:r>
          </w:p>
          <w:p w14:paraId="0595FC3F" w14:textId="77777777" w:rsidR="00D8568C" w:rsidRPr="00A56151" w:rsidRDefault="57A92B5D" w:rsidP="09F4AA1C">
            <w:pPr>
              <w:pStyle w:val="NormalWeb"/>
              <w:rPr>
                <w:rFonts w:asciiTheme="minorHAnsi" w:hAnsiTheme="minorHAnsi" w:cstheme="minorBidi"/>
                <w:sz w:val="22"/>
                <w:szCs w:val="22"/>
              </w:rPr>
            </w:pPr>
            <w:r w:rsidRPr="09F4AA1C">
              <w:rPr>
                <w:rFonts w:asciiTheme="minorHAnsi" w:hAnsiTheme="minorHAnsi" w:cstheme="minorBidi"/>
                <w:sz w:val="22"/>
                <w:szCs w:val="22"/>
              </w:rPr>
              <w:lastRenderedPageBreak/>
              <w:t>Key components include:</w:t>
            </w:r>
          </w:p>
          <w:p w14:paraId="65FAB71B" w14:textId="77777777" w:rsidR="00D8568C" w:rsidRPr="00A56151" w:rsidRDefault="57A92B5D" w:rsidP="09F4AA1C">
            <w:pPr>
              <w:pStyle w:val="NormalWeb"/>
              <w:numPr>
                <w:ilvl w:val="0"/>
                <w:numId w:val="23"/>
              </w:numPr>
              <w:rPr>
                <w:rFonts w:asciiTheme="minorHAnsi" w:hAnsiTheme="minorHAnsi" w:cstheme="minorBidi"/>
                <w:sz w:val="22"/>
                <w:szCs w:val="22"/>
              </w:rPr>
            </w:pPr>
            <w:r w:rsidRPr="09F4AA1C">
              <w:rPr>
                <w:rStyle w:val="Strong"/>
                <w:rFonts w:asciiTheme="minorHAnsi" w:hAnsiTheme="minorHAnsi" w:cstheme="minorBidi"/>
                <w:b w:val="0"/>
                <w:bCs w:val="0"/>
                <w:sz w:val="22"/>
                <w:szCs w:val="22"/>
              </w:rPr>
              <w:t>Explicit instruction</w:t>
            </w:r>
            <w:r w:rsidRPr="09F4AA1C">
              <w:rPr>
                <w:rFonts w:asciiTheme="minorHAnsi" w:hAnsiTheme="minorHAnsi" w:cstheme="minorBidi"/>
                <w:sz w:val="22"/>
                <w:szCs w:val="22"/>
              </w:rPr>
              <w:t xml:space="preserve">, </w:t>
            </w:r>
            <w:r w:rsidRPr="09F4AA1C">
              <w:rPr>
                <w:rStyle w:val="Strong"/>
                <w:rFonts w:asciiTheme="minorHAnsi" w:hAnsiTheme="minorHAnsi" w:cstheme="minorBidi"/>
                <w:b w:val="0"/>
                <w:bCs w:val="0"/>
                <w:sz w:val="22"/>
                <w:szCs w:val="22"/>
              </w:rPr>
              <w:t>scaffolding</w:t>
            </w:r>
            <w:r w:rsidRPr="09F4AA1C">
              <w:rPr>
                <w:rFonts w:asciiTheme="minorHAnsi" w:hAnsiTheme="minorHAnsi" w:cstheme="minorBidi"/>
                <w:sz w:val="22"/>
                <w:szCs w:val="22"/>
              </w:rPr>
              <w:t xml:space="preserve">, and </w:t>
            </w:r>
            <w:r w:rsidRPr="09F4AA1C">
              <w:rPr>
                <w:rStyle w:val="Strong"/>
                <w:rFonts w:asciiTheme="minorHAnsi" w:hAnsiTheme="minorHAnsi" w:cstheme="minorBidi"/>
                <w:b w:val="0"/>
                <w:bCs w:val="0"/>
                <w:sz w:val="22"/>
                <w:szCs w:val="22"/>
              </w:rPr>
              <w:t>flexible grouping</w:t>
            </w:r>
            <w:r w:rsidRPr="09F4AA1C">
              <w:rPr>
                <w:rFonts w:asciiTheme="minorHAnsi" w:hAnsiTheme="minorHAnsi" w:cstheme="minorBidi"/>
                <w:sz w:val="22"/>
                <w:szCs w:val="22"/>
              </w:rPr>
              <w:t xml:space="preserve"> to meet diverse needs.</w:t>
            </w:r>
          </w:p>
          <w:p w14:paraId="5E4F65D1" w14:textId="77777777" w:rsidR="00D8568C" w:rsidRPr="00A56151" w:rsidRDefault="57A92B5D" w:rsidP="09F4AA1C">
            <w:pPr>
              <w:pStyle w:val="NormalWeb"/>
              <w:numPr>
                <w:ilvl w:val="0"/>
                <w:numId w:val="23"/>
              </w:numPr>
              <w:rPr>
                <w:rFonts w:asciiTheme="minorHAnsi" w:hAnsiTheme="minorHAnsi" w:cstheme="minorBidi"/>
                <w:sz w:val="22"/>
                <w:szCs w:val="22"/>
              </w:rPr>
            </w:pPr>
            <w:r w:rsidRPr="09F4AA1C">
              <w:rPr>
                <w:rStyle w:val="Strong"/>
                <w:rFonts w:asciiTheme="minorHAnsi" w:hAnsiTheme="minorHAnsi" w:cstheme="minorBidi"/>
                <w:b w:val="0"/>
                <w:bCs w:val="0"/>
                <w:sz w:val="22"/>
                <w:szCs w:val="22"/>
              </w:rPr>
              <w:t>Diagnostic assessment</w:t>
            </w:r>
            <w:r w:rsidRPr="09F4AA1C">
              <w:rPr>
                <w:rFonts w:asciiTheme="minorHAnsi" w:hAnsiTheme="minorHAnsi" w:cstheme="minorBidi"/>
                <w:sz w:val="22"/>
                <w:szCs w:val="22"/>
              </w:rPr>
              <w:t xml:space="preserve"> to uncover misconceptions and inform targeted support.</w:t>
            </w:r>
          </w:p>
          <w:p w14:paraId="2701E90E" w14:textId="77777777" w:rsidR="00D8568C" w:rsidRPr="00A56151" w:rsidRDefault="57A92B5D" w:rsidP="09F4AA1C">
            <w:pPr>
              <w:pStyle w:val="NormalWeb"/>
              <w:numPr>
                <w:ilvl w:val="0"/>
                <w:numId w:val="23"/>
              </w:numPr>
              <w:rPr>
                <w:rFonts w:asciiTheme="minorHAnsi" w:hAnsiTheme="minorHAnsi" w:cstheme="minorBidi"/>
                <w:sz w:val="22"/>
                <w:szCs w:val="22"/>
              </w:rPr>
            </w:pPr>
            <w:r w:rsidRPr="09F4AA1C">
              <w:rPr>
                <w:rStyle w:val="Strong"/>
                <w:rFonts w:asciiTheme="minorHAnsi" w:hAnsiTheme="minorHAnsi" w:cstheme="minorBidi"/>
                <w:b w:val="0"/>
                <w:bCs w:val="0"/>
                <w:sz w:val="22"/>
                <w:szCs w:val="22"/>
              </w:rPr>
              <w:t>Metacognitive strategies</w:t>
            </w:r>
            <w:r w:rsidRPr="09F4AA1C">
              <w:rPr>
                <w:rFonts w:asciiTheme="minorHAnsi" w:hAnsiTheme="minorHAnsi" w:cstheme="minorBidi"/>
                <w:sz w:val="22"/>
                <w:szCs w:val="22"/>
              </w:rPr>
              <w:t xml:space="preserve"> to help pupils monitor and adapt their learning </w:t>
            </w:r>
          </w:p>
          <w:p w14:paraId="2A2C6542" w14:textId="04355771" w:rsidR="00D8568C" w:rsidRPr="00A56151" w:rsidRDefault="2A371FDC" w:rsidP="09F4AA1C">
            <w:pPr>
              <w:pStyle w:val="TableRowCentered"/>
              <w:numPr>
                <w:ilvl w:val="0"/>
                <w:numId w:val="24"/>
              </w:numPr>
              <w:ind w:right="0"/>
              <w:jc w:val="left"/>
              <w:rPr>
                <w:rFonts w:asciiTheme="minorHAnsi" w:hAnsiTheme="minorHAnsi" w:cstheme="minorBidi"/>
                <w:sz w:val="22"/>
                <w:szCs w:val="22"/>
              </w:rPr>
            </w:pPr>
            <w:hyperlink r:id="rId7">
              <w:r w:rsidRPr="09F4AA1C">
                <w:rPr>
                  <w:rFonts w:asciiTheme="minorHAnsi" w:hAnsiTheme="minorHAnsi" w:cstheme="minorBidi"/>
                  <w:color w:val="0000FF"/>
                  <w:sz w:val="22"/>
                  <w:szCs w:val="22"/>
                  <w:u w:val="single"/>
                </w:rPr>
                <w:t>High-quality teaching | EEF</w:t>
              </w:r>
            </w:hyperlink>
          </w:p>
          <w:p w14:paraId="2A7D551F" w14:textId="0BA7E473" w:rsidR="005E0BE5" w:rsidRPr="00A56151" w:rsidRDefault="74EE558A" w:rsidP="09F4AA1C">
            <w:pPr>
              <w:pStyle w:val="TableRowCentered"/>
              <w:numPr>
                <w:ilvl w:val="0"/>
                <w:numId w:val="24"/>
              </w:numPr>
              <w:ind w:right="0"/>
              <w:jc w:val="left"/>
              <w:rPr>
                <w:rFonts w:asciiTheme="minorHAnsi" w:hAnsiTheme="minorHAnsi" w:cstheme="minorBidi"/>
                <w:sz w:val="22"/>
                <w:szCs w:val="22"/>
              </w:rPr>
            </w:pPr>
            <w:hyperlink r:id="rId8">
              <w:r w:rsidRPr="09F4AA1C">
                <w:rPr>
                  <w:rFonts w:asciiTheme="minorHAnsi" w:hAnsiTheme="minorHAnsi" w:cstheme="minorBidi"/>
                  <w:color w:val="0000FF"/>
                  <w:sz w:val="22"/>
                  <w:szCs w:val="22"/>
                  <w:u w:val="single"/>
                </w:rPr>
                <w:t>Making the most of the EEF Teaching and… | Bradford Research School</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67AF99A9" w:rsidR="0083439F" w:rsidRPr="00A56151" w:rsidRDefault="3065E093"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lastRenderedPageBreak/>
              <w:t>1,2,3,4,5</w:t>
            </w:r>
          </w:p>
        </w:tc>
      </w:tr>
      <w:tr w:rsidR="0083439F" w:rsidRPr="00A56151" w14:paraId="79C4D553" w14:textId="77777777" w:rsidTr="09F4AA1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139F8" w14:textId="1E37D404" w:rsidR="00AF1D4F" w:rsidRPr="00B80A45" w:rsidRDefault="2607C066" w:rsidP="09F4AA1C">
            <w:pPr>
              <w:pStyle w:val="NormalWeb"/>
              <w:rPr>
                <w:rFonts w:asciiTheme="minorHAnsi" w:hAnsiTheme="minorHAnsi" w:cstheme="minorBidi"/>
                <w:color w:val="000000" w:themeColor="text1"/>
                <w:sz w:val="22"/>
                <w:szCs w:val="22"/>
              </w:rPr>
            </w:pPr>
            <w:r w:rsidRPr="00B80A45">
              <w:rPr>
                <w:rFonts w:asciiTheme="minorHAnsi" w:hAnsiTheme="minorHAnsi" w:cstheme="minorBidi"/>
                <w:color w:val="000000" w:themeColor="text1"/>
                <w:sz w:val="22"/>
                <w:szCs w:val="22"/>
              </w:rPr>
              <w:t>We are embedding a whole-school approach</w:t>
            </w:r>
            <w:r w:rsidR="00B80A45">
              <w:rPr>
                <w:rFonts w:asciiTheme="minorHAnsi" w:hAnsiTheme="minorHAnsi" w:cstheme="minorBidi"/>
                <w:color w:val="000000" w:themeColor="text1"/>
                <w:sz w:val="22"/>
                <w:szCs w:val="22"/>
              </w:rPr>
              <w:t xml:space="preserve"> literacy enhancement</w:t>
            </w:r>
            <w:r w:rsidRPr="00B80A45">
              <w:rPr>
                <w:rFonts w:asciiTheme="minorHAnsi" w:hAnsiTheme="minorHAnsi" w:cstheme="minorBidi"/>
                <w:color w:val="000000" w:themeColor="text1"/>
                <w:sz w:val="22"/>
                <w:szCs w:val="22"/>
                <w:shd w:val="clear" w:color="auto" w:fill="FFFF00"/>
              </w:rPr>
              <w:t>.</w:t>
            </w:r>
            <w:r w:rsidRPr="00B80A45">
              <w:rPr>
                <w:rFonts w:asciiTheme="minorHAnsi" w:hAnsiTheme="minorHAnsi" w:cstheme="minorBidi"/>
                <w:color w:val="000000" w:themeColor="text1"/>
                <w:sz w:val="22"/>
                <w:szCs w:val="22"/>
              </w:rPr>
              <w:t xml:space="preserve"> This initiative aims to strengthen reading comprehension and vocabulary acquisition across all subject disciplines.</w:t>
            </w:r>
          </w:p>
          <w:p w14:paraId="60198A8D" w14:textId="77777777" w:rsidR="00AF1D4F" w:rsidRPr="00B80A45" w:rsidRDefault="2607C066" w:rsidP="09F4AA1C">
            <w:pPr>
              <w:pStyle w:val="NormalWeb"/>
              <w:rPr>
                <w:rFonts w:asciiTheme="minorHAnsi" w:hAnsiTheme="minorHAnsi" w:cstheme="minorBidi"/>
                <w:color w:val="000000" w:themeColor="text1"/>
                <w:sz w:val="22"/>
                <w:szCs w:val="22"/>
              </w:rPr>
            </w:pPr>
            <w:r w:rsidRPr="00B80A45">
              <w:rPr>
                <w:rFonts w:asciiTheme="minorHAnsi" w:hAnsiTheme="minorHAnsi" w:cstheme="minorBidi"/>
                <w:color w:val="000000" w:themeColor="text1"/>
                <w:sz w:val="22"/>
                <w:szCs w:val="22"/>
              </w:rPr>
              <w:t>To support this, dedicated funding has been allocated to:</w:t>
            </w:r>
          </w:p>
          <w:p w14:paraId="4EE52A8C" w14:textId="77777777" w:rsidR="00AF1D4F" w:rsidRPr="00B80A45" w:rsidRDefault="2607C066" w:rsidP="09F4AA1C">
            <w:pPr>
              <w:pStyle w:val="NormalWeb"/>
              <w:numPr>
                <w:ilvl w:val="0"/>
                <w:numId w:val="21"/>
              </w:numPr>
              <w:rPr>
                <w:rFonts w:asciiTheme="minorHAnsi" w:hAnsiTheme="minorHAnsi" w:cstheme="minorBidi"/>
                <w:color w:val="000000" w:themeColor="text1"/>
                <w:sz w:val="22"/>
                <w:szCs w:val="22"/>
              </w:rPr>
            </w:pPr>
            <w:r w:rsidRPr="00B80A45">
              <w:rPr>
                <w:rFonts w:asciiTheme="minorHAnsi" w:hAnsiTheme="minorHAnsi" w:cstheme="minorBidi"/>
                <w:color w:val="000000" w:themeColor="text1"/>
                <w:sz w:val="22"/>
                <w:szCs w:val="22"/>
              </w:rPr>
              <w:t>Deliver targeted training for staff, students, and members of the wider community, enabling personalised and small-group literacy support.</w:t>
            </w:r>
          </w:p>
          <w:p w14:paraId="489E2935" w14:textId="77777777" w:rsidR="00AF1D4F" w:rsidRPr="00B80A45" w:rsidRDefault="2607C066" w:rsidP="09F4AA1C">
            <w:pPr>
              <w:pStyle w:val="NormalWeb"/>
              <w:numPr>
                <w:ilvl w:val="0"/>
                <w:numId w:val="21"/>
              </w:numPr>
              <w:rPr>
                <w:rFonts w:asciiTheme="minorHAnsi" w:hAnsiTheme="minorHAnsi" w:cstheme="minorBidi"/>
                <w:color w:val="000000" w:themeColor="text1"/>
                <w:sz w:val="22"/>
                <w:szCs w:val="22"/>
              </w:rPr>
            </w:pPr>
            <w:r w:rsidRPr="00B80A45">
              <w:rPr>
                <w:rFonts w:asciiTheme="minorHAnsi" w:hAnsiTheme="minorHAnsi" w:cstheme="minorBidi"/>
                <w:color w:val="000000" w:themeColor="text1"/>
                <w:sz w:val="22"/>
                <w:szCs w:val="22"/>
              </w:rPr>
              <w:t>Provide subject-specific professional development and instructional coaching for teachers, ensuring literacy strategies are effectively integrated into classroom practice.</w:t>
            </w:r>
          </w:p>
          <w:p w14:paraId="435F889F" w14:textId="77777777" w:rsidR="0083439F" w:rsidRPr="00B80A45" w:rsidRDefault="0083439F" w:rsidP="09F4AA1C">
            <w:pPr>
              <w:pStyle w:val="TableRow"/>
              <w:rPr>
                <w:rFonts w:asciiTheme="minorHAnsi" w:hAnsiTheme="minorHAnsi" w:cstheme="minorBidi"/>
                <w:color w:val="000000" w:themeColor="text1"/>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353D0" w14:textId="77777777" w:rsidR="008E5C4A" w:rsidRPr="00A56151" w:rsidRDefault="1B081591" w:rsidP="09F4AA1C">
            <w:pPr>
              <w:pStyle w:val="NormalWeb"/>
              <w:rPr>
                <w:rFonts w:asciiTheme="minorHAnsi" w:hAnsiTheme="minorHAnsi" w:cstheme="minorBidi"/>
                <w:sz w:val="22"/>
                <w:szCs w:val="22"/>
              </w:rPr>
            </w:pPr>
            <w:r w:rsidRPr="09F4AA1C">
              <w:rPr>
                <w:rFonts w:asciiTheme="minorHAnsi" w:hAnsiTheme="minorHAnsi" w:cstheme="minorBidi"/>
                <w:sz w:val="22"/>
                <w:szCs w:val="22"/>
              </w:rPr>
              <w:t xml:space="preserve">The EEF’s </w:t>
            </w:r>
            <w:r w:rsidRPr="09F4AA1C">
              <w:rPr>
                <w:rStyle w:val="Emphasis"/>
                <w:rFonts w:asciiTheme="minorHAnsi" w:hAnsiTheme="minorHAnsi" w:cstheme="minorBidi"/>
                <w:sz w:val="22"/>
                <w:szCs w:val="22"/>
              </w:rPr>
              <w:t>Improving Literacy in Secondary Schools</w:t>
            </w:r>
            <w:r w:rsidRPr="09F4AA1C">
              <w:rPr>
                <w:rFonts w:asciiTheme="minorHAnsi" w:hAnsiTheme="minorHAnsi" w:cstheme="minorBidi"/>
                <w:sz w:val="22"/>
                <w:szCs w:val="22"/>
              </w:rPr>
              <w:t xml:space="preserve"> report strongly advocates for a </w:t>
            </w:r>
            <w:r w:rsidRPr="09F4AA1C">
              <w:rPr>
                <w:rStyle w:val="Strong"/>
                <w:rFonts w:asciiTheme="minorHAnsi" w:hAnsiTheme="minorHAnsi" w:cstheme="minorBidi"/>
                <w:sz w:val="22"/>
                <w:szCs w:val="22"/>
              </w:rPr>
              <w:t>disciplinary literacy</w:t>
            </w:r>
            <w:r w:rsidRPr="09F4AA1C">
              <w:rPr>
                <w:rFonts w:asciiTheme="minorHAnsi" w:hAnsiTheme="minorHAnsi" w:cstheme="minorBidi"/>
                <w:sz w:val="22"/>
                <w:szCs w:val="22"/>
              </w:rPr>
              <w:t xml:space="preserve"> approach, recognising that:</w:t>
            </w:r>
          </w:p>
          <w:p w14:paraId="02C34EF3" w14:textId="77777777" w:rsidR="008E5C4A" w:rsidRPr="00A56151" w:rsidRDefault="1B081591" w:rsidP="09F4AA1C">
            <w:pPr>
              <w:pStyle w:val="NormalWeb"/>
              <w:numPr>
                <w:ilvl w:val="0"/>
                <w:numId w:val="25"/>
              </w:numPr>
              <w:rPr>
                <w:rFonts w:asciiTheme="minorHAnsi" w:hAnsiTheme="minorHAnsi" w:cstheme="minorBidi"/>
                <w:sz w:val="22"/>
                <w:szCs w:val="22"/>
              </w:rPr>
            </w:pPr>
            <w:r w:rsidRPr="09F4AA1C">
              <w:rPr>
                <w:rFonts w:asciiTheme="minorHAnsi" w:hAnsiTheme="minorHAnsi" w:cstheme="minorBidi"/>
                <w:sz w:val="22"/>
                <w:szCs w:val="22"/>
              </w:rPr>
              <w:t xml:space="preserve">Literacy is </w:t>
            </w:r>
            <w:r w:rsidRPr="09F4AA1C">
              <w:rPr>
                <w:rStyle w:val="Strong"/>
                <w:rFonts w:asciiTheme="minorHAnsi" w:hAnsiTheme="minorHAnsi" w:cstheme="minorBidi"/>
                <w:sz w:val="22"/>
                <w:szCs w:val="22"/>
              </w:rPr>
              <w:t>subject-specific</w:t>
            </w:r>
            <w:r w:rsidRPr="09F4AA1C">
              <w:rPr>
                <w:rFonts w:asciiTheme="minorHAnsi" w:hAnsiTheme="minorHAnsi" w:cstheme="minorBidi"/>
                <w:sz w:val="22"/>
                <w:szCs w:val="22"/>
              </w:rPr>
              <w:t xml:space="preserve"> and should be embedded across all disciplines.</w:t>
            </w:r>
          </w:p>
          <w:p w14:paraId="19B86179" w14:textId="77777777" w:rsidR="008E5C4A" w:rsidRPr="00A56151" w:rsidRDefault="1B081591" w:rsidP="09F4AA1C">
            <w:pPr>
              <w:pStyle w:val="NormalWeb"/>
              <w:numPr>
                <w:ilvl w:val="0"/>
                <w:numId w:val="25"/>
              </w:numPr>
              <w:rPr>
                <w:rFonts w:asciiTheme="minorHAnsi" w:hAnsiTheme="minorHAnsi" w:cstheme="minorBidi"/>
                <w:sz w:val="22"/>
                <w:szCs w:val="22"/>
              </w:rPr>
            </w:pPr>
            <w:r w:rsidRPr="09F4AA1C">
              <w:rPr>
                <w:rFonts w:asciiTheme="minorHAnsi" w:hAnsiTheme="minorHAnsi" w:cstheme="minorBidi"/>
                <w:sz w:val="22"/>
                <w:szCs w:val="22"/>
              </w:rPr>
              <w:t>Every teacher is a teacher of literacy, using academic language to communicate subject knowledge.</w:t>
            </w:r>
          </w:p>
          <w:p w14:paraId="51802458" w14:textId="77777777" w:rsidR="008E5C4A" w:rsidRPr="00A56151" w:rsidRDefault="1B081591" w:rsidP="09F4AA1C">
            <w:pPr>
              <w:pStyle w:val="NormalWeb"/>
              <w:numPr>
                <w:ilvl w:val="0"/>
                <w:numId w:val="25"/>
              </w:numPr>
              <w:rPr>
                <w:rFonts w:asciiTheme="minorHAnsi" w:hAnsiTheme="minorHAnsi" w:cstheme="minorBidi"/>
                <w:sz w:val="22"/>
                <w:szCs w:val="22"/>
              </w:rPr>
            </w:pPr>
            <w:r w:rsidRPr="09F4AA1C">
              <w:rPr>
                <w:rFonts w:asciiTheme="minorHAnsi" w:hAnsiTheme="minorHAnsi" w:cstheme="minorBidi"/>
                <w:sz w:val="22"/>
                <w:szCs w:val="22"/>
              </w:rPr>
              <w:t>Professional development should support teachers in teaching pupils how to read, write, and communicate effectively within their subject</w:t>
            </w:r>
          </w:p>
          <w:p w14:paraId="03BAF8BA" w14:textId="14005C18" w:rsidR="000A1D5E" w:rsidRPr="00A56151" w:rsidRDefault="0952AE01" w:rsidP="09F4AA1C">
            <w:pPr>
              <w:pStyle w:val="NormalWeb"/>
              <w:ind w:left="360"/>
              <w:rPr>
                <w:rFonts w:asciiTheme="minorHAnsi" w:hAnsiTheme="minorHAnsi" w:cstheme="minorBidi"/>
                <w:color w:val="0D0D0D"/>
                <w:sz w:val="22"/>
                <w:szCs w:val="22"/>
              </w:rPr>
            </w:pPr>
            <w:hyperlink r:id="rId9">
              <w:r w:rsidRPr="09F4AA1C">
                <w:rPr>
                  <w:rFonts w:asciiTheme="minorHAnsi" w:hAnsiTheme="minorHAnsi" w:cstheme="minorBidi"/>
                  <w:color w:val="0000FF"/>
                  <w:sz w:val="22"/>
                  <w:szCs w:val="22"/>
                  <w:u w:val="single"/>
                </w:rPr>
                <w:t>schooltransition.co.uk/wp-content/uploads/2021/03/Improving-Literacy-in-Secondary-Schools-EEF-Guidance-Report.pdf</w:t>
              </w:r>
            </w:hyperlink>
          </w:p>
          <w:p w14:paraId="23F8411A" w14:textId="1D5357DF" w:rsidR="00676069" w:rsidRPr="00A56151" w:rsidRDefault="1ADD66EF" w:rsidP="09F4AA1C">
            <w:pPr>
              <w:pStyle w:val="NormalWeb"/>
              <w:ind w:left="360"/>
              <w:rPr>
                <w:rFonts w:asciiTheme="minorHAnsi" w:hAnsiTheme="minorHAnsi" w:cstheme="minorBidi"/>
                <w:color w:val="0D0D0D"/>
                <w:sz w:val="22"/>
                <w:szCs w:val="22"/>
              </w:rPr>
            </w:pPr>
            <w:hyperlink r:id="rId10">
              <w:r w:rsidRPr="09F4AA1C">
                <w:rPr>
                  <w:rFonts w:asciiTheme="minorHAnsi" w:hAnsiTheme="minorHAnsi" w:cstheme="minorBidi"/>
                  <w:color w:val="0000FF"/>
                  <w:sz w:val="22"/>
                  <w:szCs w:val="22"/>
                  <w:u w:val="single"/>
                </w:rPr>
                <w:t>PEIA-Session-3-Vocabulary-RESOURCE-BANK-EXTERNAL-USE.pdf</w:t>
              </w:r>
            </w:hyperlink>
          </w:p>
          <w:p w14:paraId="6E2D93B2" w14:textId="77777777" w:rsidR="00676069" w:rsidRPr="00A56151" w:rsidRDefault="00676069" w:rsidP="09F4AA1C">
            <w:pPr>
              <w:pStyle w:val="NormalWeb"/>
              <w:rPr>
                <w:rFonts w:asciiTheme="minorHAnsi" w:hAnsiTheme="minorHAnsi" w:cstheme="minorBidi"/>
                <w:sz w:val="22"/>
                <w:szCs w:val="22"/>
              </w:rPr>
            </w:pPr>
          </w:p>
          <w:p w14:paraId="430922F0" w14:textId="10FA2468" w:rsidR="0083439F" w:rsidRPr="00A56151" w:rsidRDefault="0083439F" w:rsidP="09F4AA1C">
            <w:pPr>
              <w:pStyle w:val="TableRowCentered"/>
              <w:ind w:left="0" w:right="0"/>
              <w:jc w:val="left"/>
              <w:rPr>
                <w:rFonts w:asciiTheme="minorHAnsi" w:hAnsiTheme="minorHAnsi" w:cstheme="minorBidi"/>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E2F99" w14:textId="5F728AB6" w:rsidR="0083439F" w:rsidRPr="00A56151" w:rsidRDefault="3065E093"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t>1,2</w:t>
            </w:r>
            <w:r w:rsidR="44BF50D2" w:rsidRPr="09F4AA1C">
              <w:rPr>
                <w:rFonts w:asciiTheme="minorHAnsi" w:hAnsiTheme="minorHAnsi" w:cstheme="minorBidi"/>
                <w:sz w:val="22"/>
                <w:szCs w:val="22"/>
              </w:rPr>
              <w:t>,3</w:t>
            </w:r>
          </w:p>
        </w:tc>
      </w:tr>
      <w:tr w:rsidR="0083439F" w:rsidRPr="00A56151" w14:paraId="54EB8C4F" w14:textId="77777777" w:rsidTr="09F4AA1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08546" w14:textId="647306A1" w:rsidR="00FE645B" w:rsidRPr="00B80A45" w:rsidRDefault="798DD87F" w:rsidP="09F4AA1C">
            <w:pPr>
              <w:pStyle w:val="NormalWeb"/>
              <w:rPr>
                <w:rFonts w:asciiTheme="minorHAnsi" w:hAnsiTheme="minorHAnsi" w:cstheme="minorBidi"/>
                <w:sz w:val="22"/>
                <w:szCs w:val="22"/>
              </w:rPr>
            </w:pPr>
            <w:r w:rsidRPr="00B80A45">
              <w:rPr>
                <w:rFonts w:asciiTheme="minorHAnsi" w:hAnsiTheme="minorHAnsi" w:cstheme="minorBidi"/>
                <w:sz w:val="22"/>
                <w:szCs w:val="22"/>
              </w:rPr>
              <w:t>We are committed to cultivating a positive and sustainable working environment that enables the recruitment and</w:t>
            </w:r>
            <w:r w:rsidR="004E1423">
              <w:rPr>
                <w:rFonts w:asciiTheme="minorHAnsi" w:hAnsiTheme="minorHAnsi" w:cstheme="minorBidi"/>
                <w:sz w:val="22"/>
                <w:szCs w:val="22"/>
              </w:rPr>
              <w:t xml:space="preserve"> retention of exceptional colleagues</w:t>
            </w:r>
            <w:r w:rsidRPr="00B80A45">
              <w:rPr>
                <w:rFonts w:asciiTheme="minorHAnsi" w:hAnsiTheme="minorHAnsi" w:cstheme="minorBidi"/>
                <w:sz w:val="22"/>
                <w:szCs w:val="22"/>
              </w:rPr>
              <w:t>. Key actions include:</w:t>
            </w:r>
          </w:p>
          <w:p w14:paraId="6C657EF2" w14:textId="77777777" w:rsidR="00FE645B" w:rsidRPr="00B80A45" w:rsidRDefault="798DD87F" w:rsidP="09F4AA1C">
            <w:pPr>
              <w:pStyle w:val="NormalWeb"/>
              <w:numPr>
                <w:ilvl w:val="0"/>
                <w:numId w:val="22"/>
              </w:numPr>
              <w:rPr>
                <w:rFonts w:asciiTheme="minorHAnsi" w:hAnsiTheme="minorHAnsi" w:cstheme="minorBidi"/>
                <w:sz w:val="22"/>
                <w:szCs w:val="22"/>
              </w:rPr>
            </w:pPr>
            <w:r w:rsidRPr="00B80A45">
              <w:rPr>
                <w:rFonts w:asciiTheme="minorHAnsi" w:hAnsiTheme="minorHAnsi" w:cstheme="minorBidi"/>
                <w:sz w:val="22"/>
                <w:szCs w:val="22"/>
              </w:rPr>
              <w:lastRenderedPageBreak/>
              <w:t>Providing structured support for early career teachers, ensuring access to high-impact professional development tailored to their needs.</w:t>
            </w:r>
          </w:p>
          <w:p w14:paraId="0CC3E811" w14:textId="77777777" w:rsidR="00FE645B" w:rsidRPr="00B80A45" w:rsidRDefault="798DD87F" w:rsidP="09F4AA1C">
            <w:pPr>
              <w:pStyle w:val="NormalWeb"/>
              <w:numPr>
                <w:ilvl w:val="0"/>
                <w:numId w:val="22"/>
              </w:numPr>
              <w:rPr>
                <w:rFonts w:asciiTheme="minorHAnsi" w:hAnsiTheme="minorHAnsi" w:cstheme="minorBidi"/>
                <w:sz w:val="22"/>
                <w:szCs w:val="22"/>
              </w:rPr>
            </w:pPr>
            <w:r w:rsidRPr="00B80A45">
              <w:rPr>
                <w:rFonts w:asciiTheme="minorHAnsi" w:hAnsiTheme="minorHAnsi" w:cstheme="minorBidi"/>
                <w:sz w:val="22"/>
                <w:szCs w:val="22"/>
              </w:rPr>
              <w:t>Delivering robust training programmes for mentors and instructional coaches to strengthen capacity across the workforce.</w:t>
            </w:r>
          </w:p>
          <w:p w14:paraId="52AA7D76" w14:textId="77777777" w:rsidR="00FE645B" w:rsidRPr="00B80A45" w:rsidRDefault="798DD87F" w:rsidP="09F4AA1C">
            <w:pPr>
              <w:pStyle w:val="NormalWeb"/>
              <w:numPr>
                <w:ilvl w:val="0"/>
                <w:numId w:val="22"/>
              </w:numPr>
              <w:rPr>
                <w:rFonts w:asciiTheme="minorHAnsi" w:hAnsiTheme="minorHAnsi" w:cstheme="minorBidi"/>
                <w:sz w:val="22"/>
                <w:szCs w:val="22"/>
              </w:rPr>
            </w:pPr>
            <w:r w:rsidRPr="00B80A45">
              <w:rPr>
                <w:rFonts w:asciiTheme="minorHAnsi" w:hAnsiTheme="minorHAnsi" w:cstheme="minorBidi"/>
                <w:sz w:val="22"/>
                <w:szCs w:val="22"/>
              </w:rPr>
              <w:t>Regularly reviewing staff workload to eliminate unnecessary demands and promote flexible working practices.</w:t>
            </w:r>
          </w:p>
          <w:p w14:paraId="719BF4ED" w14:textId="77777777" w:rsidR="00FE645B" w:rsidRPr="00B80A45" w:rsidRDefault="798DD87F" w:rsidP="09F4AA1C">
            <w:pPr>
              <w:pStyle w:val="NormalWeb"/>
              <w:numPr>
                <w:ilvl w:val="0"/>
                <w:numId w:val="22"/>
              </w:numPr>
              <w:rPr>
                <w:rFonts w:asciiTheme="minorHAnsi" w:hAnsiTheme="minorHAnsi" w:cstheme="minorBidi"/>
                <w:sz w:val="22"/>
                <w:szCs w:val="22"/>
              </w:rPr>
            </w:pPr>
            <w:r w:rsidRPr="00B80A45">
              <w:rPr>
                <w:rFonts w:asciiTheme="minorHAnsi" w:hAnsiTheme="minorHAnsi" w:cstheme="minorBidi"/>
                <w:sz w:val="22"/>
                <w:szCs w:val="22"/>
              </w:rPr>
              <w:t>Embedding the principles of our workload charter to ensure consistency and fairness in expectations.</w:t>
            </w:r>
          </w:p>
          <w:p w14:paraId="071018DE" w14:textId="77777777" w:rsidR="00FE645B" w:rsidRPr="00B80A45" w:rsidRDefault="798DD87F" w:rsidP="09F4AA1C">
            <w:pPr>
              <w:pStyle w:val="NormalWeb"/>
              <w:numPr>
                <w:ilvl w:val="0"/>
                <w:numId w:val="22"/>
              </w:numPr>
              <w:rPr>
                <w:rFonts w:asciiTheme="minorHAnsi" w:hAnsiTheme="minorHAnsi" w:cstheme="minorBidi"/>
                <w:sz w:val="22"/>
                <w:szCs w:val="22"/>
              </w:rPr>
            </w:pPr>
            <w:r w:rsidRPr="00B80A45">
              <w:rPr>
                <w:rFonts w:asciiTheme="minorHAnsi" w:hAnsiTheme="minorHAnsi" w:cstheme="minorBidi"/>
                <w:sz w:val="22"/>
                <w:szCs w:val="22"/>
              </w:rPr>
              <w:t>Investing in meaningful, subject-specific training and career development pathways for all staff, aligned with both individual aspirations and school improvement priorities.</w:t>
            </w:r>
          </w:p>
          <w:p w14:paraId="3920034F" w14:textId="61A7F9B9" w:rsidR="0083439F" w:rsidRPr="00B80A45" w:rsidRDefault="0083439F" w:rsidP="09F4AA1C">
            <w:pPr>
              <w:pStyle w:val="TableRow"/>
              <w:rPr>
                <w:rFonts w:asciiTheme="minorHAnsi" w:hAnsiTheme="minorHAnsi" w:cstheme="minorBidi"/>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501D9" w14:textId="77777777" w:rsidR="0083439F" w:rsidRPr="00A56151" w:rsidRDefault="3A023C44"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lastRenderedPageBreak/>
              <w:t xml:space="preserve">Eight studies cited by the EEF found that </w:t>
            </w:r>
            <w:r w:rsidRPr="09F4AA1C">
              <w:rPr>
                <w:rStyle w:val="Strong"/>
                <w:rFonts w:asciiTheme="minorHAnsi" w:hAnsiTheme="minorHAnsi" w:cstheme="minorBidi"/>
                <w:sz w:val="22"/>
                <w:szCs w:val="22"/>
              </w:rPr>
              <w:t>tailored induction support</w:t>
            </w:r>
            <w:r w:rsidRPr="09F4AA1C">
              <w:rPr>
                <w:rFonts w:asciiTheme="minorHAnsi" w:hAnsiTheme="minorHAnsi" w:cstheme="minorBidi"/>
                <w:sz w:val="22"/>
                <w:szCs w:val="22"/>
              </w:rPr>
              <w:t xml:space="preserve"> improves retention, especially when linked to professional development and collaborative learning communities</w:t>
            </w:r>
          </w:p>
          <w:p w14:paraId="6C237BD4" w14:textId="77777777" w:rsidR="004A6B88" w:rsidRPr="00A56151" w:rsidRDefault="004A6B88" w:rsidP="09F4AA1C">
            <w:pPr>
              <w:pStyle w:val="TableRowCentered"/>
              <w:ind w:left="0" w:right="0"/>
              <w:jc w:val="left"/>
              <w:rPr>
                <w:rFonts w:asciiTheme="minorHAnsi" w:hAnsiTheme="minorHAnsi" w:cstheme="minorBidi"/>
                <w:sz w:val="22"/>
                <w:szCs w:val="22"/>
                <w:lang w:val="en"/>
              </w:rPr>
            </w:pPr>
          </w:p>
          <w:p w14:paraId="298609EB" w14:textId="77777777" w:rsidR="004A6B88" w:rsidRPr="00A56151" w:rsidRDefault="6C9B5646" w:rsidP="09F4AA1C">
            <w:pPr>
              <w:pStyle w:val="TableRowCentered"/>
              <w:ind w:left="0" w:right="0"/>
              <w:jc w:val="left"/>
              <w:rPr>
                <w:rFonts w:asciiTheme="minorHAnsi" w:hAnsiTheme="minorHAnsi" w:cstheme="minorBidi"/>
                <w:sz w:val="22"/>
                <w:szCs w:val="22"/>
              </w:rPr>
            </w:pPr>
            <w:hyperlink r:id="rId11">
              <w:r w:rsidRPr="09F4AA1C">
                <w:rPr>
                  <w:rFonts w:asciiTheme="minorHAnsi" w:hAnsiTheme="minorHAnsi" w:cstheme="minorBidi"/>
                  <w:color w:val="0000FF"/>
                  <w:sz w:val="22"/>
                  <w:szCs w:val="22"/>
                  <w:u w:val="single"/>
                </w:rPr>
                <w:t>Improving Teacher Recruitment &amp; Retention: 6 Actions for Leaders</w:t>
              </w:r>
            </w:hyperlink>
          </w:p>
          <w:p w14:paraId="5F419D58" w14:textId="77777777" w:rsidR="004A6B88" w:rsidRPr="00A56151" w:rsidRDefault="004A6B88" w:rsidP="09F4AA1C">
            <w:pPr>
              <w:pStyle w:val="TableRowCentered"/>
              <w:ind w:left="0" w:right="0"/>
              <w:jc w:val="left"/>
              <w:rPr>
                <w:rFonts w:asciiTheme="minorHAnsi" w:hAnsiTheme="minorHAnsi" w:cstheme="minorBidi"/>
                <w:sz w:val="22"/>
                <w:szCs w:val="22"/>
                <w:lang w:val="en"/>
              </w:rPr>
            </w:pPr>
          </w:p>
          <w:p w14:paraId="67B9B46A" w14:textId="77777777" w:rsidR="004A6B88" w:rsidRPr="00A56151" w:rsidRDefault="6C9B5646" w:rsidP="09F4AA1C">
            <w:pPr>
              <w:pStyle w:val="TableRowCentered"/>
              <w:ind w:left="0" w:right="0"/>
              <w:jc w:val="left"/>
              <w:rPr>
                <w:rFonts w:asciiTheme="minorHAnsi" w:hAnsiTheme="minorHAnsi" w:cstheme="minorBidi"/>
                <w:sz w:val="22"/>
                <w:szCs w:val="22"/>
              </w:rPr>
            </w:pPr>
            <w:r w:rsidRPr="09F4AA1C">
              <w:rPr>
                <w:rFonts w:asciiTheme="minorHAnsi" w:hAnsiTheme="minorHAnsi" w:cstheme="minorBidi"/>
                <w:sz w:val="22"/>
                <w:szCs w:val="22"/>
              </w:rPr>
              <w:t xml:space="preserve">Effective mentors and instructional coaches contribute to </w:t>
            </w:r>
            <w:r w:rsidRPr="09F4AA1C">
              <w:rPr>
                <w:rStyle w:val="Strong"/>
                <w:rFonts w:asciiTheme="minorHAnsi" w:hAnsiTheme="minorHAnsi" w:cstheme="minorBidi"/>
                <w:sz w:val="22"/>
                <w:szCs w:val="22"/>
              </w:rPr>
              <w:t>improved teaching quality</w:t>
            </w:r>
            <w:r w:rsidRPr="09F4AA1C">
              <w:rPr>
                <w:rFonts w:asciiTheme="minorHAnsi" w:hAnsiTheme="minorHAnsi" w:cstheme="minorBidi"/>
                <w:sz w:val="22"/>
                <w:szCs w:val="22"/>
              </w:rPr>
              <w:t xml:space="preserve">, </w:t>
            </w:r>
            <w:r w:rsidRPr="09F4AA1C">
              <w:rPr>
                <w:rStyle w:val="Strong"/>
                <w:rFonts w:asciiTheme="minorHAnsi" w:hAnsiTheme="minorHAnsi" w:cstheme="minorBidi"/>
                <w:sz w:val="22"/>
                <w:szCs w:val="22"/>
              </w:rPr>
              <w:t>staff morale</w:t>
            </w:r>
            <w:r w:rsidRPr="09F4AA1C">
              <w:rPr>
                <w:rFonts w:asciiTheme="minorHAnsi" w:hAnsiTheme="minorHAnsi" w:cstheme="minorBidi"/>
                <w:sz w:val="22"/>
                <w:szCs w:val="22"/>
              </w:rPr>
              <w:t xml:space="preserve">, and </w:t>
            </w:r>
            <w:r w:rsidRPr="09F4AA1C">
              <w:rPr>
                <w:rStyle w:val="Strong"/>
                <w:rFonts w:asciiTheme="minorHAnsi" w:hAnsiTheme="minorHAnsi" w:cstheme="minorBidi"/>
                <w:sz w:val="22"/>
                <w:szCs w:val="22"/>
              </w:rPr>
              <w:t>retention</w:t>
            </w:r>
            <w:r w:rsidRPr="09F4AA1C">
              <w:rPr>
                <w:rFonts w:asciiTheme="minorHAnsi" w:hAnsiTheme="minorHAnsi" w:cstheme="minorBidi"/>
                <w:sz w:val="22"/>
                <w:szCs w:val="22"/>
              </w:rPr>
              <w:t>, particularly when they receive robust training</w:t>
            </w:r>
          </w:p>
          <w:p w14:paraId="1329D9B5" w14:textId="77777777" w:rsidR="00835F44" w:rsidRPr="00A56151" w:rsidRDefault="00835F44" w:rsidP="09F4AA1C">
            <w:pPr>
              <w:pStyle w:val="TableRowCentered"/>
              <w:ind w:left="0" w:right="0"/>
              <w:jc w:val="left"/>
              <w:rPr>
                <w:rFonts w:asciiTheme="minorHAnsi" w:hAnsiTheme="minorHAnsi" w:cstheme="minorBidi"/>
                <w:sz w:val="22"/>
                <w:szCs w:val="22"/>
                <w:lang w:val="en"/>
              </w:rPr>
            </w:pPr>
          </w:p>
          <w:p w14:paraId="7FCA961B" w14:textId="77777777" w:rsidR="00835F44" w:rsidRPr="00A56151" w:rsidRDefault="3EC8587F" w:rsidP="09F4AA1C">
            <w:pPr>
              <w:pStyle w:val="TableRowCentered"/>
              <w:ind w:left="0" w:right="0"/>
              <w:jc w:val="left"/>
              <w:rPr>
                <w:rStyle w:val="Strong"/>
                <w:rFonts w:asciiTheme="minorHAnsi" w:hAnsiTheme="minorHAnsi" w:cstheme="minorBidi"/>
                <w:sz w:val="22"/>
                <w:szCs w:val="22"/>
              </w:rPr>
            </w:pPr>
            <w:r w:rsidRPr="09F4AA1C">
              <w:rPr>
                <w:rFonts w:asciiTheme="minorHAnsi" w:hAnsiTheme="minorHAnsi" w:cstheme="minorBidi"/>
                <w:sz w:val="22"/>
                <w:szCs w:val="22"/>
              </w:rPr>
              <w:t xml:space="preserve">Schools with multiple workload-reduction strategies—such as protected PPA time, adaptable schemes of work, and streamlined admin—reported </w:t>
            </w:r>
            <w:r w:rsidRPr="09F4AA1C">
              <w:rPr>
                <w:rStyle w:val="Strong"/>
                <w:rFonts w:asciiTheme="minorHAnsi" w:hAnsiTheme="minorHAnsi" w:cstheme="minorBidi"/>
                <w:sz w:val="22"/>
                <w:szCs w:val="22"/>
              </w:rPr>
              <w:t>higher staff satisfaction and retention</w:t>
            </w:r>
          </w:p>
          <w:p w14:paraId="4A1C1818" w14:textId="77777777" w:rsidR="00835F44" w:rsidRPr="00A56151" w:rsidRDefault="00835F44" w:rsidP="09F4AA1C">
            <w:pPr>
              <w:pStyle w:val="TableRowCentered"/>
              <w:ind w:left="0" w:right="0"/>
              <w:jc w:val="left"/>
              <w:rPr>
                <w:rStyle w:val="Strong"/>
                <w:rFonts w:asciiTheme="minorHAnsi" w:hAnsiTheme="minorHAnsi" w:cstheme="minorBidi"/>
                <w:sz w:val="22"/>
                <w:szCs w:val="22"/>
              </w:rPr>
            </w:pPr>
          </w:p>
          <w:p w14:paraId="1C2BB868" w14:textId="2AEC4C87" w:rsidR="00835F44" w:rsidRPr="00A56151" w:rsidRDefault="3EC8587F" w:rsidP="09F4AA1C">
            <w:pPr>
              <w:pStyle w:val="TableRowCentered"/>
              <w:ind w:left="0" w:right="0"/>
              <w:jc w:val="left"/>
              <w:rPr>
                <w:rFonts w:asciiTheme="minorHAnsi" w:hAnsiTheme="minorHAnsi" w:cstheme="minorBidi"/>
                <w:sz w:val="22"/>
                <w:szCs w:val="22"/>
                <w:lang w:val="en"/>
              </w:rPr>
            </w:pPr>
            <w:hyperlink r:id="rId12">
              <w:r w:rsidRPr="09F4AA1C">
                <w:rPr>
                  <w:rFonts w:asciiTheme="minorHAnsi" w:hAnsiTheme="minorHAnsi" w:cstheme="minorBidi"/>
                  <w:color w:val="0000FF"/>
                  <w:sz w:val="22"/>
                  <w:szCs w:val="22"/>
                  <w:u w:val="single"/>
                </w:rPr>
                <w:t>EEF recruitment and retention studies: the key findings</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24ED" w14:textId="49CE3695" w:rsidR="0083439F" w:rsidRPr="00A56151" w:rsidRDefault="00871A05" w:rsidP="0083439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lastRenderedPageBreak/>
              <w:t>1,2,3,5</w:t>
            </w:r>
          </w:p>
        </w:tc>
      </w:tr>
      <w:tr w:rsidR="0083439F" w:rsidRPr="00A56151" w14:paraId="0B0A13C3" w14:textId="77777777" w:rsidTr="09F4AA1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84966" w14:textId="710BDF5D" w:rsidR="0083439F" w:rsidRPr="00B80A45" w:rsidRDefault="2E16953B" w:rsidP="09F4AA1C">
            <w:pPr>
              <w:pStyle w:val="TableRow"/>
              <w:rPr>
                <w:rFonts w:asciiTheme="minorHAnsi" w:hAnsiTheme="minorHAnsi" w:cstheme="minorBidi"/>
                <w:color w:val="000000" w:themeColor="text1"/>
                <w:sz w:val="22"/>
                <w:szCs w:val="22"/>
              </w:rPr>
            </w:pPr>
            <w:r w:rsidRPr="09F4AA1C">
              <w:rPr>
                <w:rFonts w:asciiTheme="minorHAnsi" w:hAnsiTheme="minorHAnsi" w:cstheme="minorBidi"/>
                <w:sz w:val="22"/>
                <w:szCs w:val="22"/>
              </w:rPr>
              <w:t xml:space="preserve">To ensure that disadvantaged pupils have access to quality first teaching with a particular focus on </w:t>
            </w:r>
            <w:r w:rsidRPr="00B80A45">
              <w:rPr>
                <w:rFonts w:asciiTheme="minorHAnsi" w:hAnsiTheme="minorHAnsi" w:cstheme="minorBidi"/>
                <w:sz w:val="22"/>
                <w:szCs w:val="22"/>
              </w:rPr>
              <w:t>improving</w:t>
            </w:r>
            <w:r w:rsidR="00B80A45">
              <w:rPr>
                <w:rFonts w:asciiTheme="minorHAnsi" w:hAnsiTheme="minorHAnsi" w:cstheme="minorBidi"/>
                <w:sz w:val="22"/>
                <w:szCs w:val="22"/>
              </w:rPr>
              <w:t xml:space="preserve"> reading</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5C4AD" w14:textId="77777777" w:rsidR="00CC697B" w:rsidRPr="00A56151" w:rsidRDefault="0F09C942" w:rsidP="09F4AA1C">
            <w:pPr>
              <w:pStyle w:val="NormalWeb"/>
              <w:rPr>
                <w:rFonts w:asciiTheme="minorHAnsi" w:hAnsiTheme="minorHAnsi" w:cstheme="minorBidi"/>
                <w:sz w:val="22"/>
                <w:szCs w:val="22"/>
              </w:rPr>
            </w:pPr>
            <w:r w:rsidRPr="09F4AA1C">
              <w:rPr>
                <w:rFonts w:asciiTheme="minorHAnsi" w:hAnsiTheme="minorHAnsi" w:cstheme="minorBidi"/>
                <w:sz w:val="22"/>
                <w:szCs w:val="22"/>
              </w:rPr>
              <w:t xml:space="preserve">EEF evidence shows that reading comprehension strategies can lead to </w:t>
            </w:r>
            <w:r w:rsidRPr="09F4AA1C">
              <w:rPr>
                <w:rStyle w:val="Strong"/>
                <w:rFonts w:asciiTheme="minorHAnsi" w:hAnsiTheme="minorHAnsi" w:cstheme="minorBidi"/>
                <w:sz w:val="22"/>
                <w:szCs w:val="22"/>
              </w:rPr>
              <w:t>+6 months’ progress</w:t>
            </w:r>
            <w:r w:rsidRPr="09F4AA1C">
              <w:rPr>
                <w:rFonts w:asciiTheme="minorHAnsi" w:hAnsiTheme="minorHAnsi" w:cstheme="minorBidi"/>
                <w:sz w:val="22"/>
                <w:szCs w:val="22"/>
              </w:rPr>
              <w:t>, with even greater gains for disadvantaged pupils when:</w:t>
            </w:r>
          </w:p>
          <w:p w14:paraId="50770879" w14:textId="77777777" w:rsidR="00CC697B" w:rsidRPr="00A56151" w:rsidRDefault="0F09C942" w:rsidP="09F4AA1C">
            <w:pPr>
              <w:pStyle w:val="NormalWeb"/>
              <w:numPr>
                <w:ilvl w:val="0"/>
                <w:numId w:val="26"/>
              </w:numPr>
              <w:rPr>
                <w:rFonts w:asciiTheme="minorHAnsi" w:hAnsiTheme="minorHAnsi" w:cstheme="minorBidi"/>
                <w:sz w:val="22"/>
                <w:szCs w:val="22"/>
              </w:rPr>
            </w:pPr>
            <w:r w:rsidRPr="09F4AA1C">
              <w:rPr>
                <w:rFonts w:asciiTheme="minorHAnsi" w:hAnsiTheme="minorHAnsi" w:cstheme="minorBidi"/>
                <w:sz w:val="22"/>
                <w:szCs w:val="22"/>
              </w:rPr>
              <w:t xml:space="preserve">Strategies are </w:t>
            </w:r>
            <w:r w:rsidRPr="09F4AA1C">
              <w:rPr>
                <w:rStyle w:val="Strong"/>
                <w:rFonts w:asciiTheme="minorHAnsi" w:hAnsiTheme="minorHAnsi" w:cstheme="minorBidi"/>
                <w:sz w:val="22"/>
                <w:szCs w:val="22"/>
              </w:rPr>
              <w:t>explicitly taught</w:t>
            </w:r>
          </w:p>
          <w:p w14:paraId="018CEBE4" w14:textId="77777777" w:rsidR="00CC697B" w:rsidRPr="00A56151" w:rsidRDefault="0F09C942" w:rsidP="09F4AA1C">
            <w:pPr>
              <w:pStyle w:val="NormalWeb"/>
              <w:numPr>
                <w:ilvl w:val="0"/>
                <w:numId w:val="26"/>
              </w:numPr>
              <w:rPr>
                <w:rFonts w:asciiTheme="minorHAnsi" w:hAnsiTheme="minorHAnsi" w:cstheme="minorBidi"/>
                <w:sz w:val="22"/>
                <w:szCs w:val="22"/>
              </w:rPr>
            </w:pPr>
            <w:r w:rsidRPr="09F4AA1C">
              <w:rPr>
                <w:rFonts w:asciiTheme="minorHAnsi" w:hAnsiTheme="minorHAnsi" w:cstheme="minorBidi"/>
                <w:sz w:val="22"/>
                <w:szCs w:val="22"/>
              </w:rPr>
              <w:t xml:space="preserve">Pupils receive </w:t>
            </w:r>
            <w:r w:rsidRPr="09F4AA1C">
              <w:rPr>
                <w:rStyle w:val="Strong"/>
                <w:rFonts w:asciiTheme="minorHAnsi" w:hAnsiTheme="minorHAnsi" w:cstheme="minorBidi"/>
                <w:sz w:val="22"/>
                <w:szCs w:val="22"/>
              </w:rPr>
              <w:t>structured support</w:t>
            </w:r>
            <w:r w:rsidRPr="09F4AA1C">
              <w:rPr>
                <w:rFonts w:asciiTheme="minorHAnsi" w:hAnsiTheme="minorHAnsi" w:cstheme="minorBidi"/>
                <w:sz w:val="22"/>
                <w:szCs w:val="22"/>
              </w:rPr>
              <w:t xml:space="preserve"> to apply them</w:t>
            </w:r>
          </w:p>
          <w:p w14:paraId="16424CD1" w14:textId="77777777" w:rsidR="00CC697B" w:rsidRPr="00A56151" w:rsidRDefault="0F09C942" w:rsidP="09F4AA1C">
            <w:pPr>
              <w:pStyle w:val="NormalWeb"/>
              <w:numPr>
                <w:ilvl w:val="0"/>
                <w:numId w:val="26"/>
              </w:numPr>
              <w:rPr>
                <w:rFonts w:asciiTheme="minorHAnsi" w:hAnsiTheme="minorHAnsi" w:cstheme="minorBidi"/>
                <w:sz w:val="22"/>
                <w:szCs w:val="22"/>
              </w:rPr>
            </w:pPr>
            <w:r w:rsidRPr="09F4AA1C">
              <w:rPr>
                <w:rFonts w:asciiTheme="minorHAnsi" w:hAnsiTheme="minorHAnsi" w:cstheme="minorBidi"/>
                <w:sz w:val="22"/>
                <w:szCs w:val="22"/>
              </w:rPr>
              <w:t xml:space="preserve">Teachers use </w:t>
            </w:r>
            <w:r w:rsidRPr="09F4AA1C">
              <w:rPr>
                <w:rStyle w:val="Strong"/>
                <w:rFonts w:asciiTheme="minorHAnsi" w:hAnsiTheme="minorHAnsi" w:cstheme="minorBidi"/>
                <w:sz w:val="22"/>
                <w:szCs w:val="22"/>
              </w:rPr>
              <w:t>diagnostic tools</w:t>
            </w:r>
            <w:r w:rsidRPr="09F4AA1C">
              <w:rPr>
                <w:rFonts w:asciiTheme="minorHAnsi" w:hAnsiTheme="minorHAnsi" w:cstheme="minorBidi"/>
                <w:sz w:val="22"/>
                <w:szCs w:val="22"/>
              </w:rPr>
              <w:t xml:space="preserve"> to identify reading barriers</w:t>
            </w:r>
          </w:p>
          <w:p w14:paraId="1AE50A01" w14:textId="77777777" w:rsidR="00C76BE1" w:rsidRPr="00A56151" w:rsidRDefault="6C5B1871" w:rsidP="09F4AA1C">
            <w:pPr>
              <w:pStyle w:val="NormalWeb"/>
              <w:rPr>
                <w:rFonts w:asciiTheme="minorHAnsi" w:hAnsiTheme="minorHAnsi" w:cstheme="minorBidi"/>
                <w:sz w:val="22"/>
                <w:szCs w:val="22"/>
              </w:rPr>
            </w:pPr>
            <w:r w:rsidRPr="09F4AA1C">
              <w:rPr>
                <w:rFonts w:asciiTheme="minorHAnsi" w:hAnsiTheme="minorHAnsi" w:cstheme="minorBidi"/>
                <w:sz w:val="22"/>
                <w:szCs w:val="22"/>
              </w:rPr>
              <w:t>EEF’s review of intervention strategies highlights that:</w:t>
            </w:r>
          </w:p>
          <w:p w14:paraId="5FBD7C23" w14:textId="77777777" w:rsidR="00C76BE1" w:rsidRPr="00A56151" w:rsidRDefault="6C5B1871" w:rsidP="09F4AA1C">
            <w:pPr>
              <w:pStyle w:val="NormalWeb"/>
              <w:numPr>
                <w:ilvl w:val="0"/>
                <w:numId w:val="27"/>
              </w:numPr>
              <w:rPr>
                <w:rFonts w:asciiTheme="minorHAnsi" w:hAnsiTheme="minorHAnsi" w:cstheme="minorBidi"/>
                <w:sz w:val="22"/>
                <w:szCs w:val="22"/>
              </w:rPr>
            </w:pPr>
            <w:r w:rsidRPr="09F4AA1C">
              <w:rPr>
                <w:rFonts w:asciiTheme="minorHAnsi" w:hAnsiTheme="minorHAnsi" w:cstheme="minorBidi"/>
                <w:sz w:val="22"/>
                <w:szCs w:val="22"/>
              </w:rPr>
              <w:t xml:space="preserve">Disadvantaged pupils benefit significantly from </w:t>
            </w:r>
            <w:r w:rsidRPr="09F4AA1C">
              <w:rPr>
                <w:rStyle w:val="Strong"/>
                <w:rFonts w:asciiTheme="minorHAnsi" w:hAnsiTheme="minorHAnsi" w:cstheme="minorBidi"/>
                <w:sz w:val="22"/>
                <w:szCs w:val="22"/>
              </w:rPr>
              <w:t>explicit teaching of reading strategies</w:t>
            </w:r>
          </w:p>
          <w:p w14:paraId="73BEC11C" w14:textId="77777777" w:rsidR="00C76BE1" w:rsidRPr="00A56151" w:rsidRDefault="00C76BE1" w:rsidP="09F4AA1C">
            <w:pPr>
              <w:pStyle w:val="NormalWeb"/>
              <w:rPr>
                <w:rFonts w:asciiTheme="minorHAnsi" w:hAnsiTheme="minorHAnsi" w:cstheme="minorBidi"/>
                <w:sz w:val="22"/>
                <w:szCs w:val="22"/>
              </w:rPr>
            </w:pPr>
          </w:p>
          <w:p w14:paraId="7644A066" w14:textId="72E48BCA" w:rsidR="0083439F" w:rsidRPr="00A56151" w:rsidRDefault="1AF66349" w:rsidP="09F4AA1C">
            <w:pPr>
              <w:pStyle w:val="TableRowCentered"/>
              <w:ind w:left="0" w:right="0"/>
              <w:jc w:val="left"/>
              <w:rPr>
                <w:rFonts w:asciiTheme="minorHAnsi" w:hAnsiTheme="minorHAnsi" w:cstheme="minorBidi"/>
                <w:color w:val="000000"/>
                <w:sz w:val="22"/>
                <w:szCs w:val="22"/>
              </w:rPr>
            </w:pPr>
            <w:hyperlink r:id="rId13">
              <w:r w:rsidRPr="09F4AA1C">
                <w:rPr>
                  <w:rFonts w:asciiTheme="minorHAnsi" w:hAnsiTheme="minorHAnsi" w:cstheme="minorBidi"/>
                  <w:color w:val="0000FF"/>
                  <w:sz w:val="22"/>
                  <w:szCs w:val="22"/>
                  <w:u w:val="single"/>
                </w:rPr>
                <w:t>Closing the Disadvantage Gap (EEF Toolkit) ASE IIS.pdf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A5ACC" w14:textId="52591E09" w:rsidR="0083439F" w:rsidRPr="00A56151" w:rsidRDefault="00871A05" w:rsidP="0083439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lastRenderedPageBreak/>
              <w:t>1,2,4</w:t>
            </w:r>
          </w:p>
        </w:tc>
      </w:tr>
      <w:tr w:rsidR="0083439F" w:rsidRPr="00A56151" w14:paraId="2837F3AC" w14:textId="77777777" w:rsidTr="09F4AA1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A73C1" w14:textId="783008C3" w:rsidR="00F551E6" w:rsidRPr="00A56151" w:rsidRDefault="00A6745C" w:rsidP="00F551E6">
            <w:pPr>
              <w:pStyle w:val="NormalWeb"/>
              <w:rPr>
                <w:rFonts w:asciiTheme="minorHAnsi" w:hAnsiTheme="minorHAnsi" w:cstheme="minorHAnsi"/>
                <w:sz w:val="22"/>
                <w:szCs w:val="22"/>
              </w:rPr>
            </w:pPr>
            <w:r w:rsidRPr="00A56151">
              <w:rPr>
                <w:rFonts w:asciiTheme="minorHAnsi" w:hAnsiTheme="minorHAnsi" w:cstheme="minorHAnsi"/>
                <w:sz w:val="22"/>
                <w:szCs w:val="22"/>
              </w:rPr>
              <w:t xml:space="preserve">Provide research-informed professional development that enhances the quality of teaching and learning across the curriculum.. </w:t>
            </w:r>
            <w:r w:rsidR="00F551E6" w:rsidRPr="00A56151">
              <w:rPr>
                <w:rFonts w:asciiTheme="minorHAnsi" w:hAnsiTheme="minorHAnsi" w:cstheme="minorHAnsi"/>
                <w:sz w:val="22"/>
                <w:szCs w:val="22"/>
              </w:rPr>
              <w:t>Staff are actively engaged in refining their practice to enhance learning outcomes for all pupils, with a particular emphasis on supporting disadvantaged learners. This is achieved through sustained involvement in instructional coaching, participation in subject-specific professional learning communities, and access to personalised continuing professional development tailored to individual and departmental needs.</w:t>
            </w:r>
          </w:p>
          <w:p w14:paraId="652EC1CC" w14:textId="6DB6355F" w:rsidR="0083439F" w:rsidRPr="00A56151" w:rsidRDefault="0083439F" w:rsidP="0083439F">
            <w:pPr>
              <w:pStyle w:val="TableRow"/>
              <w:rPr>
                <w:rFonts w:asciiTheme="minorHAnsi" w:hAnsiTheme="minorHAnsi" w:cstheme="minorHAnsi"/>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78F5" w14:textId="77777777" w:rsidR="00BA227B" w:rsidRPr="00A56151" w:rsidRDefault="0083439F" w:rsidP="00BA227B">
            <w:pPr>
              <w:pStyle w:val="NormalWeb"/>
              <w:rPr>
                <w:rFonts w:asciiTheme="minorHAnsi" w:hAnsiTheme="minorHAnsi" w:cstheme="minorHAnsi"/>
                <w:sz w:val="22"/>
                <w:szCs w:val="22"/>
              </w:rPr>
            </w:pPr>
            <w:r w:rsidRPr="00A56151">
              <w:rPr>
                <w:rFonts w:asciiTheme="minorHAnsi" w:hAnsiTheme="minorHAnsi" w:cstheme="minorHAnsi"/>
                <w:b/>
                <w:bCs/>
                <w:color w:val="000000" w:themeColor="text1"/>
                <w:sz w:val="22"/>
                <w:szCs w:val="22"/>
              </w:rPr>
              <w:t xml:space="preserve"> </w:t>
            </w:r>
            <w:r w:rsidR="00BA227B" w:rsidRPr="00A56151">
              <w:rPr>
                <w:rFonts w:asciiTheme="minorHAnsi" w:hAnsiTheme="minorHAnsi" w:cstheme="minorHAnsi"/>
                <w:sz w:val="22"/>
                <w:szCs w:val="22"/>
              </w:rPr>
              <w:t xml:space="preserve">EEF and Ambition Institute evidence shows that </w:t>
            </w:r>
            <w:r w:rsidR="00BA227B" w:rsidRPr="00A56151">
              <w:rPr>
                <w:rStyle w:val="Strong"/>
                <w:rFonts w:asciiTheme="minorHAnsi" w:hAnsiTheme="minorHAnsi" w:cstheme="minorHAnsi"/>
                <w:sz w:val="22"/>
                <w:szCs w:val="22"/>
              </w:rPr>
              <w:t>instructional coaching</w:t>
            </w:r>
            <w:r w:rsidR="00BA227B" w:rsidRPr="00A56151">
              <w:rPr>
                <w:rFonts w:asciiTheme="minorHAnsi" w:hAnsiTheme="minorHAnsi" w:cstheme="minorHAnsi"/>
                <w:sz w:val="22"/>
                <w:szCs w:val="22"/>
              </w:rPr>
              <w:t xml:space="preserve"> is one of the most effective forms of CPD:</w:t>
            </w:r>
          </w:p>
          <w:p w14:paraId="5852180F" w14:textId="77777777" w:rsidR="00BA227B" w:rsidRPr="00A56151" w:rsidRDefault="00BA227B" w:rsidP="00BA227B">
            <w:pPr>
              <w:pStyle w:val="NormalWeb"/>
              <w:numPr>
                <w:ilvl w:val="0"/>
                <w:numId w:val="28"/>
              </w:numPr>
              <w:rPr>
                <w:rFonts w:asciiTheme="minorHAnsi" w:hAnsiTheme="minorHAnsi" w:cstheme="minorHAnsi"/>
                <w:sz w:val="22"/>
                <w:szCs w:val="22"/>
              </w:rPr>
            </w:pPr>
            <w:r w:rsidRPr="00A56151">
              <w:rPr>
                <w:rFonts w:asciiTheme="minorHAnsi" w:hAnsiTheme="minorHAnsi" w:cstheme="minorHAnsi"/>
                <w:sz w:val="22"/>
                <w:szCs w:val="22"/>
              </w:rPr>
              <w:t xml:space="preserve">Combines </w:t>
            </w:r>
            <w:r w:rsidRPr="00A56151">
              <w:rPr>
                <w:rStyle w:val="Strong"/>
                <w:rFonts w:asciiTheme="minorHAnsi" w:hAnsiTheme="minorHAnsi" w:cstheme="minorHAnsi"/>
                <w:sz w:val="22"/>
                <w:szCs w:val="22"/>
              </w:rPr>
              <w:t>granular goals</w:t>
            </w:r>
            <w:r w:rsidRPr="00A56151">
              <w:rPr>
                <w:rFonts w:asciiTheme="minorHAnsi" w:hAnsiTheme="minorHAnsi" w:cstheme="minorHAnsi"/>
                <w:sz w:val="22"/>
                <w:szCs w:val="22"/>
              </w:rPr>
              <w:t xml:space="preserve">, </w:t>
            </w:r>
            <w:r w:rsidRPr="00A56151">
              <w:rPr>
                <w:rStyle w:val="Strong"/>
                <w:rFonts w:asciiTheme="minorHAnsi" w:hAnsiTheme="minorHAnsi" w:cstheme="minorHAnsi"/>
                <w:sz w:val="22"/>
                <w:szCs w:val="22"/>
              </w:rPr>
              <w:t>targeted feedback</w:t>
            </w:r>
            <w:r w:rsidRPr="00A56151">
              <w:rPr>
                <w:rFonts w:asciiTheme="minorHAnsi" w:hAnsiTheme="minorHAnsi" w:cstheme="minorHAnsi"/>
                <w:sz w:val="22"/>
                <w:szCs w:val="22"/>
              </w:rPr>
              <w:t xml:space="preserve">, and </w:t>
            </w:r>
            <w:r w:rsidRPr="00A56151">
              <w:rPr>
                <w:rStyle w:val="Strong"/>
                <w:rFonts w:asciiTheme="minorHAnsi" w:hAnsiTheme="minorHAnsi" w:cstheme="minorHAnsi"/>
                <w:sz w:val="22"/>
                <w:szCs w:val="22"/>
              </w:rPr>
              <w:t>rehearsal</w:t>
            </w:r>
            <w:r w:rsidRPr="00A56151">
              <w:rPr>
                <w:rFonts w:asciiTheme="minorHAnsi" w:hAnsiTheme="minorHAnsi" w:cstheme="minorHAnsi"/>
                <w:sz w:val="22"/>
                <w:szCs w:val="22"/>
              </w:rPr>
              <w:t>—all key mechanisms for changing practice.</w:t>
            </w:r>
          </w:p>
          <w:p w14:paraId="6071D51C" w14:textId="77777777" w:rsidR="00BA227B" w:rsidRPr="00A56151" w:rsidRDefault="00BA227B" w:rsidP="00BA227B">
            <w:pPr>
              <w:pStyle w:val="NormalWeb"/>
              <w:numPr>
                <w:ilvl w:val="0"/>
                <w:numId w:val="28"/>
              </w:numPr>
              <w:rPr>
                <w:rFonts w:asciiTheme="minorHAnsi" w:hAnsiTheme="minorHAnsi" w:cstheme="minorHAnsi"/>
                <w:sz w:val="22"/>
                <w:szCs w:val="22"/>
              </w:rPr>
            </w:pPr>
            <w:r w:rsidRPr="00A56151">
              <w:rPr>
                <w:rFonts w:asciiTheme="minorHAnsi" w:hAnsiTheme="minorHAnsi" w:cstheme="minorHAnsi"/>
                <w:sz w:val="22"/>
                <w:szCs w:val="22"/>
              </w:rPr>
              <w:t xml:space="preserve">Proven to improve </w:t>
            </w:r>
            <w:r w:rsidRPr="00A56151">
              <w:rPr>
                <w:rStyle w:val="Strong"/>
                <w:rFonts w:asciiTheme="minorHAnsi" w:hAnsiTheme="minorHAnsi" w:cstheme="minorHAnsi"/>
                <w:sz w:val="22"/>
                <w:szCs w:val="22"/>
              </w:rPr>
              <w:t>teaching quality</w:t>
            </w:r>
            <w:r w:rsidRPr="00A56151">
              <w:rPr>
                <w:rFonts w:asciiTheme="minorHAnsi" w:hAnsiTheme="minorHAnsi" w:cstheme="minorHAnsi"/>
                <w:sz w:val="22"/>
                <w:szCs w:val="22"/>
              </w:rPr>
              <w:t xml:space="preserve"> and </w:t>
            </w:r>
            <w:r w:rsidRPr="00A56151">
              <w:rPr>
                <w:rStyle w:val="Strong"/>
                <w:rFonts w:asciiTheme="minorHAnsi" w:hAnsiTheme="minorHAnsi" w:cstheme="minorHAnsi"/>
                <w:sz w:val="22"/>
                <w:szCs w:val="22"/>
              </w:rPr>
              <w:t>pupil attainment</w:t>
            </w:r>
            <w:r w:rsidRPr="00A56151">
              <w:rPr>
                <w:rFonts w:asciiTheme="minorHAnsi" w:hAnsiTheme="minorHAnsi" w:cstheme="minorHAnsi"/>
                <w:sz w:val="22"/>
                <w:szCs w:val="22"/>
              </w:rPr>
              <w:t>, especially when embedded across the school and supported by trained coaches</w:t>
            </w:r>
          </w:p>
          <w:p w14:paraId="4DCD8DBE" w14:textId="65AB7002" w:rsidR="0083439F" w:rsidRPr="00A56151" w:rsidRDefault="009216B2" w:rsidP="0083439F">
            <w:pPr>
              <w:pStyle w:val="TableRowCentered"/>
              <w:ind w:left="0" w:right="0"/>
              <w:jc w:val="left"/>
              <w:rPr>
                <w:rFonts w:asciiTheme="minorHAnsi" w:hAnsiTheme="minorHAnsi" w:cstheme="minorHAnsi"/>
                <w:b/>
                <w:bCs/>
                <w:sz w:val="22"/>
                <w:szCs w:val="22"/>
              </w:rPr>
            </w:pPr>
            <w:hyperlink r:id="rId14" w:history="1">
              <w:r w:rsidRPr="00A56151">
                <w:rPr>
                  <w:rFonts w:asciiTheme="minorHAnsi" w:hAnsiTheme="minorHAnsi" w:cstheme="minorHAnsi"/>
                  <w:color w:val="0000FF"/>
                  <w:sz w:val="22"/>
                  <w:szCs w:val="22"/>
                  <w:u w:val="single"/>
                </w:rPr>
                <w:t>Supporting schools to maximise the impact of instructional coaching | Ambition Institute</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39BAC" w14:textId="2ED41813" w:rsidR="0083439F" w:rsidRPr="00A56151" w:rsidRDefault="00871A05" w:rsidP="0083439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t>1,2</w:t>
            </w:r>
          </w:p>
        </w:tc>
      </w:tr>
    </w:tbl>
    <w:p w14:paraId="2A7D5522" w14:textId="77777777" w:rsidR="00E66558" w:rsidRPr="00A56151" w:rsidRDefault="00E66558" w:rsidP="00ED5108"/>
    <w:p w14:paraId="2A7D5523" w14:textId="5B2BE35F" w:rsidR="00E66558" w:rsidRPr="00A56151" w:rsidRDefault="009D71E8" w:rsidP="00AA355B">
      <w:pPr>
        <w:pStyle w:val="Heading3"/>
      </w:pPr>
      <w:r w:rsidRPr="00A56151">
        <w:t xml:space="preserve">Targeted academic support (for example, </w:t>
      </w:r>
      <w:r w:rsidR="00D33FE5" w:rsidRPr="00A56151">
        <w:t>tutoring, one-to-one support</w:t>
      </w:r>
      <w:r w:rsidR="00F776E1" w:rsidRPr="00A56151">
        <w:t>,</w:t>
      </w:r>
      <w:r w:rsidR="00D33FE5" w:rsidRPr="00A56151">
        <w:t xml:space="preserve"> </w:t>
      </w:r>
      <w:r w:rsidRPr="00A56151">
        <w:t xml:space="preserve">structured interventions) </w:t>
      </w:r>
    </w:p>
    <w:p w14:paraId="2A7D5524" w14:textId="222D06A5" w:rsidR="00E66558" w:rsidRPr="00A56151" w:rsidRDefault="009D71E8" w:rsidP="3EF968DF">
      <w:pPr>
        <w:rPr>
          <w:i/>
          <w:iCs/>
        </w:rPr>
      </w:pPr>
      <w:r w:rsidRPr="00A56151">
        <w:t xml:space="preserve">Budgeted cost: </w:t>
      </w:r>
      <w:r w:rsidR="002D4FF1" w:rsidRPr="00A56151">
        <w:t>£</w:t>
      </w:r>
      <w:r w:rsidR="002D4FF1" w:rsidRPr="00A56151">
        <w:rPr>
          <w:i/>
          <w:iCs/>
        </w:rPr>
        <w:t>1</w:t>
      </w:r>
      <w:r w:rsidR="50DB2E18" w:rsidRPr="00A56151">
        <w:rPr>
          <w:i/>
          <w:iCs/>
        </w:rPr>
        <w:t>93</w:t>
      </w:r>
      <w:r w:rsidR="002D4FF1" w:rsidRPr="00A56151">
        <w:rPr>
          <w:i/>
          <w:iCs/>
        </w:rPr>
        <w:t>,000</w:t>
      </w:r>
    </w:p>
    <w:tbl>
      <w:tblPr>
        <w:tblW w:w="5008" w:type="pct"/>
        <w:tblInd w:w="-15" w:type="dxa"/>
        <w:tblCellMar>
          <w:left w:w="10" w:type="dxa"/>
          <w:right w:w="10" w:type="dxa"/>
        </w:tblCellMar>
        <w:tblLook w:val="04A0" w:firstRow="1" w:lastRow="0" w:firstColumn="1" w:lastColumn="0" w:noHBand="0" w:noVBand="1"/>
      </w:tblPr>
      <w:tblGrid>
        <w:gridCol w:w="15"/>
        <w:gridCol w:w="2688"/>
        <w:gridCol w:w="4254"/>
        <w:gridCol w:w="2544"/>
      </w:tblGrid>
      <w:tr w:rsidR="00E66558" w:rsidRPr="00A56151" w14:paraId="2A7D5528" w14:textId="77777777" w:rsidTr="003C53A9">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A56151" w:rsidRDefault="009D71E8" w:rsidP="00C31636">
            <w:pPr>
              <w:pStyle w:val="TableHeader"/>
              <w:ind w:left="0" w:right="0"/>
              <w:jc w:val="left"/>
            </w:pPr>
            <w:r w:rsidRPr="00A56151">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A56151" w:rsidRDefault="009D71E8" w:rsidP="00C31636">
            <w:pPr>
              <w:pStyle w:val="TableHeader"/>
              <w:ind w:left="0" w:right="0"/>
              <w:jc w:val="left"/>
            </w:pPr>
            <w:r w:rsidRPr="00A56151">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A56151" w:rsidRDefault="009D71E8" w:rsidP="00C31636">
            <w:pPr>
              <w:pStyle w:val="TableHeader"/>
              <w:ind w:left="0" w:right="0"/>
              <w:jc w:val="left"/>
            </w:pPr>
            <w:r w:rsidRPr="00A56151">
              <w:t>Challenge number(s) addressed</w:t>
            </w:r>
          </w:p>
        </w:tc>
      </w:tr>
      <w:tr w:rsidR="003C53A9" w:rsidRPr="00A56151" w14:paraId="47DA0677" w14:textId="77777777" w:rsidTr="003C53A9">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43144" w14:textId="73512477" w:rsidR="003C53A9" w:rsidRPr="00A56151" w:rsidRDefault="003C53A9" w:rsidP="0083439F">
            <w:pPr>
              <w:pStyle w:val="TableRow"/>
              <w:ind w:left="0" w:right="0"/>
              <w:rPr>
                <w:rFonts w:asciiTheme="minorHAnsi" w:hAnsiTheme="minorHAnsi" w:cstheme="minorHAnsi"/>
                <w:sz w:val="22"/>
                <w:szCs w:val="22"/>
              </w:rPr>
            </w:pPr>
            <w:r w:rsidRPr="00A56151">
              <w:rPr>
                <w:rFonts w:asciiTheme="minorHAnsi" w:hAnsiTheme="minorHAnsi" w:cstheme="minorHAnsi"/>
                <w:sz w:val="22"/>
                <w:szCs w:val="22"/>
              </w:rPr>
              <w:t>To implement targeted, evidence-informed reading and vocabulary interventions for students requiring additional support with reading fluency and comprehension.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8DB5" w14:textId="77777777" w:rsidR="003C53A9" w:rsidRPr="00A56151" w:rsidRDefault="000602B2" w:rsidP="0083439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t xml:space="preserve">The EEF Toolkit identifies reading comprehension strategies as a </w:t>
            </w:r>
            <w:r w:rsidRPr="00A56151">
              <w:rPr>
                <w:rStyle w:val="Strong"/>
                <w:rFonts w:asciiTheme="minorHAnsi" w:hAnsiTheme="minorHAnsi" w:cstheme="minorHAnsi"/>
                <w:sz w:val="22"/>
                <w:szCs w:val="22"/>
              </w:rPr>
              <w:t>high-impact approach</w:t>
            </w:r>
            <w:r w:rsidRPr="00A56151">
              <w:rPr>
                <w:rFonts w:asciiTheme="minorHAnsi" w:hAnsiTheme="minorHAnsi" w:cstheme="minorHAnsi"/>
                <w:sz w:val="22"/>
                <w:szCs w:val="22"/>
              </w:rPr>
              <w:t xml:space="preserve">, with an average of </w:t>
            </w:r>
            <w:r w:rsidRPr="00A56151">
              <w:rPr>
                <w:rStyle w:val="Strong"/>
                <w:rFonts w:asciiTheme="minorHAnsi" w:hAnsiTheme="minorHAnsi" w:cstheme="minorHAnsi"/>
                <w:sz w:val="22"/>
                <w:szCs w:val="22"/>
              </w:rPr>
              <w:t>+6 months’ progress</w:t>
            </w:r>
            <w:r w:rsidRPr="00A56151">
              <w:rPr>
                <w:rFonts w:asciiTheme="minorHAnsi" w:hAnsiTheme="minorHAnsi" w:cstheme="minorHAnsi"/>
                <w:sz w:val="22"/>
                <w:szCs w:val="22"/>
              </w:rPr>
              <w:t xml:space="preserve"> over a year.</w:t>
            </w:r>
          </w:p>
          <w:p w14:paraId="67CBCED0" w14:textId="77777777" w:rsidR="00E27388" w:rsidRPr="00A56151" w:rsidRDefault="00E27388" w:rsidP="0083439F">
            <w:pPr>
              <w:pStyle w:val="TableRowCentered"/>
              <w:ind w:left="0" w:right="0"/>
              <w:jc w:val="left"/>
              <w:rPr>
                <w:rFonts w:asciiTheme="minorHAnsi" w:hAnsiTheme="minorHAnsi" w:cstheme="minorHAnsi"/>
                <w:sz w:val="22"/>
                <w:szCs w:val="22"/>
              </w:rPr>
            </w:pPr>
            <w:hyperlink r:id="rId15" w:history="1">
              <w:r w:rsidRPr="00A56151">
                <w:rPr>
                  <w:rFonts w:asciiTheme="minorHAnsi" w:hAnsiTheme="minorHAnsi" w:cstheme="minorHAnsi"/>
                  <w:color w:val="0000FF"/>
                  <w:sz w:val="22"/>
                  <w:szCs w:val="22"/>
                  <w:u w:val="single"/>
                </w:rPr>
                <w:t>Reading comprehension strategies | EEF</w:t>
              </w:r>
            </w:hyperlink>
          </w:p>
          <w:p w14:paraId="30BE0D5C" w14:textId="77777777" w:rsidR="00E27388" w:rsidRPr="00A56151" w:rsidRDefault="00E27388" w:rsidP="0083439F">
            <w:pPr>
              <w:pStyle w:val="TableRowCentered"/>
              <w:ind w:left="0" w:right="0"/>
              <w:jc w:val="left"/>
              <w:rPr>
                <w:rFonts w:asciiTheme="minorHAnsi" w:hAnsiTheme="minorHAnsi" w:cstheme="minorHAnsi"/>
                <w:b/>
                <w:bCs/>
                <w:sz w:val="22"/>
                <w:szCs w:val="22"/>
              </w:rPr>
            </w:pPr>
          </w:p>
          <w:p w14:paraId="4E75673D" w14:textId="4852CD4F" w:rsidR="00CD2470" w:rsidRPr="00A56151" w:rsidRDefault="00CD2470" w:rsidP="0083439F">
            <w:pPr>
              <w:pStyle w:val="TableRowCentered"/>
              <w:ind w:left="0" w:right="0"/>
              <w:jc w:val="left"/>
              <w:rPr>
                <w:rFonts w:asciiTheme="minorHAnsi" w:hAnsiTheme="minorHAnsi" w:cstheme="minorHAnsi"/>
                <w:b/>
                <w:bCs/>
                <w:sz w:val="22"/>
                <w:szCs w:val="22"/>
              </w:rPr>
            </w:pPr>
            <w:r w:rsidRPr="00A56151">
              <w:rPr>
                <w:rFonts w:asciiTheme="minorHAnsi" w:hAnsiTheme="minorHAnsi" w:cstheme="minorHAnsi"/>
                <w:b/>
                <w:bCs/>
                <w:sz w:val="22"/>
                <w:szCs w:val="22"/>
              </w:rPr>
              <w:t xml:space="preserve">The ERC Guide </w:t>
            </w:r>
            <w:r w:rsidRPr="00A56151">
              <w:rPr>
                <w:rFonts w:asciiTheme="minorHAnsi" w:hAnsiTheme="minorHAnsi" w:cstheme="minorHAnsi"/>
                <w:sz w:val="22"/>
                <w:szCs w:val="22"/>
              </w:rPr>
              <w:t>synthesises research across 12 rigorous studies and offers practical strategies for supporting pupils aged 6–18.</w:t>
            </w:r>
            <w:r w:rsidR="005F20B3" w:rsidRPr="00A56151">
              <w:rPr>
                <w:rFonts w:asciiTheme="minorHAnsi" w:hAnsiTheme="minorHAnsi" w:cstheme="minorHAnsi"/>
                <w:sz w:val="22"/>
                <w:szCs w:val="22"/>
              </w:rPr>
              <w:t xml:space="preserve"> It highlights the importance of </w:t>
            </w:r>
            <w:r w:rsidR="005F20B3" w:rsidRPr="00A56151">
              <w:rPr>
                <w:rStyle w:val="Strong"/>
                <w:rFonts w:asciiTheme="minorHAnsi" w:hAnsiTheme="minorHAnsi" w:cstheme="minorHAnsi"/>
                <w:sz w:val="22"/>
                <w:szCs w:val="22"/>
              </w:rPr>
              <w:t>explicit vocabulary instruction</w:t>
            </w:r>
            <w:r w:rsidR="005F20B3" w:rsidRPr="00A56151">
              <w:rPr>
                <w:rFonts w:asciiTheme="minorHAnsi" w:hAnsiTheme="minorHAnsi" w:cstheme="minorHAnsi"/>
                <w:sz w:val="22"/>
                <w:szCs w:val="22"/>
              </w:rPr>
              <w:t>, structured phonics, and scaffolded comprehension activities.</w:t>
            </w:r>
          </w:p>
          <w:p w14:paraId="7E92C841" w14:textId="292AD7E2" w:rsidR="00E27388" w:rsidRPr="00A56151" w:rsidRDefault="00E27388" w:rsidP="0083439F">
            <w:pPr>
              <w:pStyle w:val="TableRowCentered"/>
              <w:ind w:left="0" w:right="0"/>
              <w:jc w:val="left"/>
              <w:rPr>
                <w:rFonts w:asciiTheme="minorHAnsi" w:hAnsiTheme="minorHAnsi" w:cstheme="minorHAnsi"/>
                <w:b/>
                <w:bCs/>
                <w:sz w:val="22"/>
                <w:szCs w:val="22"/>
              </w:rPr>
            </w:pPr>
            <w:hyperlink r:id="rId16" w:history="1">
              <w:r w:rsidRPr="00A56151">
                <w:rPr>
                  <w:rFonts w:asciiTheme="minorHAnsi" w:hAnsiTheme="minorHAnsi" w:cstheme="minorHAnsi"/>
                  <w:color w:val="0000FF"/>
                  <w:sz w:val="22"/>
                  <w:szCs w:val="22"/>
                  <w:u w:val="single"/>
                </w:rPr>
                <w:t>Effective-Interventions-for-Struggling-Readers-A-Good-Practice-Guide-for-Teachers.pdf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95B8C" w14:textId="19AC5E28" w:rsidR="003C53A9" w:rsidRPr="00A56151" w:rsidRDefault="003B7A78" w:rsidP="0083439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lastRenderedPageBreak/>
              <w:t>1</w:t>
            </w:r>
          </w:p>
        </w:tc>
      </w:tr>
      <w:tr w:rsidR="003C53A9" w:rsidRPr="00A56151" w14:paraId="12E389DA" w14:textId="77777777" w:rsidTr="003C53A9">
        <w:tc>
          <w:tcPr>
            <w:tcW w:w="27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9796" w14:textId="01BFFFAD" w:rsidR="003C53A9" w:rsidRPr="00A56151" w:rsidRDefault="003C53A9" w:rsidP="00D822B2">
            <w:pPr>
              <w:rPr>
                <w:rFonts w:asciiTheme="minorHAnsi" w:hAnsiTheme="minorHAnsi" w:cstheme="minorHAnsi"/>
                <w:sz w:val="22"/>
                <w:szCs w:val="22"/>
              </w:rPr>
            </w:pPr>
            <w:r w:rsidRPr="00A56151">
              <w:rPr>
                <w:rFonts w:asciiTheme="minorHAnsi" w:hAnsiTheme="minorHAnsi" w:cstheme="minorHAnsi"/>
                <w:sz w:val="22"/>
                <w:szCs w:val="22"/>
              </w:rPr>
              <w:t>To deliver effective transition support that enables all Disadvantaged Pupils (DP) to make a confident and positive start to secondary school, fostering early engagement, well-being, and readiness for learning.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4918" w14:textId="77777777" w:rsidR="003C53A9" w:rsidRPr="00A56151" w:rsidRDefault="00CA6D17" w:rsidP="00D822B2">
            <w:pPr>
              <w:kinsoku w:val="0"/>
              <w:overflowPunct w:val="0"/>
              <w:spacing w:before="1"/>
              <w:rPr>
                <w:rFonts w:asciiTheme="minorHAnsi" w:hAnsiTheme="minorHAnsi" w:cstheme="minorHAnsi"/>
                <w:sz w:val="22"/>
                <w:szCs w:val="22"/>
              </w:rPr>
            </w:pPr>
            <w:r w:rsidRPr="00A56151">
              <w:rPr>
                <w:rFonts w:asciiTheme="minorHAnsi" w:hAnsiTheme="minorHAnsi" w:cstheme="minorHAnsi"/>
                <w:sz w:val="22"/>
                <w:szCs w:val="22"/>
              </w:rPr>
              <w:t>University of Manchester – Supporting Vulnerable Children Over Primary-Secondary Transitions.</w:t>
            </w:r>
          </w:p>
          <w:p w14:paraId="754EA5B0" w14:textId="73E91442" w:rsidR="00CA6D17" w:rsidRPr="00A56151" w:rsidRDefault="00CA6D17" w:rsidP="00D822B2">
            <w:pPr>
              <w:kinsoku w:val="0"/>
              <w:overflowPunct w:val="0"/>
              <w:spacing w:before="1"/>
              <w:rPr>
                <w:rFonts w:asciiTheme="minorHAnsi" w:hAnsiTheme="minorHAnsi" w:cstheme="minorHAnsi"/>
                <w:color w:val="000000" w:themeColor="text1"/>
                <w:sz w:val="22"/>
                <w:szCs w:val="22"/>
                <w:shd w:val="clear" w:color="auto" w:fill="FFFFFF"/>
              </w:rPr>
            </w:pPr>
            <w:hyperlink r:id="rId17" w:history="1">
              <w:r w:rsidRPr="00A56151">
                <w:rPr>
                  <w:rFonts w:asciiTheme="minorHAnsi" w:hAnsiTheme="minorHAnsi" w:cstheme="minorHAnsi"/>
                  <w:color w:val="0000FF"/>
                  <w:sz w:val="22"/>
                  <w:szCs w:val="22"/>
                  <w:u w:val="single"/>
                </w:rPr>
                <w:t>Supporting vulnerable children over primary-secondary school transitions</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73B1C" w14:textId="42751F3F" w:rsidR="003C53A9" w:rsidRPr="00A56151" w:rsidRDefault="003B7A78" w:rsidP="00D822B2">
            <w:pPr>
              <w:pStyle w:val="TableRowCentered"/>
              <w:ind w:left="0" w:right="0"/>
              <w:jc w:val="left"/>
              <w:rPr>
                <w:rFonts w:asciiTheme="minorHAnsi" w:hAnsiTheme="minorHAnsi" w:cstheme="minorHAnsi"/>
                <w:color w:val="000000" w:themeColor="text1"/>
                <w:sz w:val="22"/>
                <w:szCs w:val="22"/>
              </w:rPr>
            </w:pPr>
            <w:r w:rsidRPr="00A56151">
              <w:rPr>
                <w:rFonts w:asciiTheme="minorHAnsi" w:hAnsiTheme="minorHAnsi" w:cstheme="minorHAnsi"/>
                <w:color w:val="000000" w:themeColor="text1"/>
                <w:sz w:val="22"/>
                <w:szCs w:val="22"/>
              </w:rPr>
              <w:t>3,6</w:t>
            </w:r>
          </w:p>
        </w:tc>
      </w:tr>
      <w:tr w:rsidR="003C53A9" w:rsidRPr="00A56151" w14:paraId="2A7D5530" w14:textId="77777777" w:rsidTr="003C53A9">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08A5D46E" w:rsidR="003C53A9" w:rsidRPr="00A56151" w:rsidRDefault="003C53A9" w:rsidP="0083439F">
            <w:pPr>
              <w:pStyle w:val="TableRow"/>
              <w:ind w:left="0" w:right="0"/>
              <w:rPr>
                <w:rFonts w:asciiTheme="minorHAnsi" w:hAnsiTheme="minorHAnsi" w:cstheme="minorHAnsi"/>
                <w:i/>
                <w:sz w:val="22"/>
                <w:szCs w:val="22"/>
              </w:rPr>
            </w:pPr>
            <w:r w:rsidRPr="00A56151">
              <w:rPr>
                <w:rFonts w:asciiTheme="minorHAnsi" w:hAnsiTheme="minorHAnsi" w:cstheme="minorHAnsi"/>
                <w:sz w:val="22"/>
                <w:szCs w:val="22"/>
              </w:rPr>
              <w:t>To provide tailored support for International New Arrival (INA) pupils through a combination of one-to-one and small group sessions. These interventions are led by designated INA leaders and further supported by Higher Level Teaching Assistants (HLTAs), ensuring pupils receive both academic and pastoral guidance as they integrate into school life.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B22E8" w14:textId="77777777" w:rsidR="003C53A9" w:rsidRPr="00A56151" w:rsidRDefault="00AA7BC6" w:rsidP="0083439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t xml:space="preserve">The EEF highlights that </w:t>
            </w:r>
            <w:r w:rsidRPr="00A56151">
              <w:rPr>
                <w:rStyle w:val="Strong"/>
                <w:rFonts w:asciiTheme="minorHAnsi" w:hAnsiTheme="minorHAnsi" w:cstheme="minorHAnsi"/>
                <w:sz w:val="22"/>
                <w:szCs w:val="22"/>
              </w:rPr>
              <w:t>one-to-one and small group tuition</w:t>
            </w:r>
            <w:r w:rsidRPr="00A56151">
              <w:rPr>
                <w:rFonts w:asciiTheme="minorHAnsi" w:hAnsiTheme="minorHAnsi" w:cstheme="minorHAnsi"/>
                <w:sz w:val="22"/>
                <w:szCs w:val="22"/>
              </w:rPr>
              <w:t xml:space="preserve"> are among the most effective strategies for accelerating progress, particularly for pupils who are not yet secure in core skills.</w:t>
            </w:r>
          </w:p>
          <w:p w14:paraId="765E9821" w14:textId="77777777" w:rsidR="004A2727" w:rsidRPr="00A56151" w:rsidRDefault="004A2727" w:rsidP="0083439F">
            <w:pPr>
              <w:pStyle w:val="TableRowCentered"/>
              <w:ind w:left="0" w:right="0"/>
              <w:jc w:val="left"/>
              <w:rPr>
                <w:rFonts w:asciiTheme="minorHAnsi" w:hAnsiTheme="minorHAnsi" w:cstheme="minorHAnsi"/>
                <w:sz w:val="22"/>
                <w:szCs w:val="22"/>
              </w:rPr>
            </w:pPr>
          </w:p>
          <w:p w14:paraId="142EA914" w14:textId="5D1911BF" w:rsidR="004A2727" w:rsidRPr="00A56151" w:rsidRDefault="004A2727" w:rsidP="004A2727">
            <w:pPr>
              <w:pStyle w:val="TableRowCentered"/>
              <w:ind w:right="0"/>
              <w:jc w:val="left"/>
              <w:rPr>
                <w:rFonts w:asciiTheme="minorHAnsi" w:hAnsiTheme="minorHAnsi" w:cstheme="minorHAnsi"/>
                <w:sz w:val="22"/>
                <w:szCs w:val="22"/>
              </w:rPr>
            </w:pPr>
            <w:hyperlink r:id="rId18" w:history="1">
              <w:r w:rsidRPr="00A56151">
                <w:rPr>
                  <w:rFonts w:asciiTheme="minorHAnsi" w:hAnsiTheme="minorHAnsi" w:cstheme="minorHAnsi"/>
                  <w:color w:val="0000FF"/>
                  <w:sz w:val="22"/>
                  <w:szCs w:val="22"/>
                  <w:u w:val="single"/>
                </w:rPr>
                <w:t>Targeted academic support | EEF</w:t>
              </w:r>
            </w:hyperlink>
          </w:p>
          <w:p w14:paraId="2C042819" w14:textId="77777777" w:rsidR="004A2727" w:rsidRPr="00A56151" w:rsidRDefault="004A2727" w:rsidP="004A2727">
            <w:pPr>
              <w:pStyle w:val="TableRowCentered"/>
              <w:ind w:right="0"/>
              <w:jc w:val="left"/>
              <w:rPr>
                <w:rStyle w:val="Strong"/>
                <w:rFonts w:asciiTheme="minorHAnsi" w:hAnsiTheme="minorHAnsi" w:cstheme="minorHAnsi"/>
                <w:sz w:val="22"/>
                <w:szCs w:val="22"/>
              </w:rPr>
            </w:pPr>
            <w:r w:rsidRPr="00A56151">
              <w:rPr>
                <w:rStyle w:val="Strong"/>
                <w:rFonts w:asciiTheme="minorHAnsi" w:hAnsiTheme="minorHAnsi" w:cstheme="minorHAnsi"/>
                <w:sz w:val="22"/>
                <w:szCs w:val="22"/>
              </w:rPr>
              <w:t>DfE “Aiming High” Guidance for New Arrivals</w:t>
            </w:r>
          </w:p>
          <w:p w14:paraId="05F0EE03" w14:textId="77777777" w:rsidR="001A3E85" w:rsidRPr="00A56151" w:rsidRDefault="001A3E85" w:rsidP="004A2727">
            <w:pPr>
              <w:pStyle w:val="TableRowCentered"/>
              <w:ind w:right="0"/>
              <w:jc w:val="left"/>
              <w:rPr>
                <w:rStyle w:val="Strong"/>
                <w:rFonts w:asciiTheme="minorHAnsi" w:hAnsiTheme="minorHAnsi" w:cstheme="minorHAnsi"/>
                <w:sz w:val="22"/>
                <w:szCs w:val="22"/>
              </w:rPr>
            </w:pPr>
          </w:p>
          <w:p w14:paraId="7C93EDAF" w14:textId="7B5776F8" w:rsidR="001A3E85" w:rsidRPr="00A56151" w:rsidRDefault="001A3E85" w:rsidP="004A2727">
            <w:pPr>
              <w:pStyle w:val="TableRowCentered"/>
              <w:ind w:right="0"/>
              <w:jc w:val="left"/>
              <w:rPr>
                <w:rStyle w:val="Strong"/>
                <w:rFonts w:asciiTheme="minorHAnsi" w:hAnsiTheme="minorHAnsi" w:cstheme="minorHAnsi"/>
                <w:sz w:val="22"/>
                <w:szCs w:val="22"/>
              </w:rPr>
            </w:pPr>
            <w:hyperlink r:id="rId19" w:history="1">
              <w:r w:rsidRPr="00A56151">
                <w:rPr>
                  <w:rFonts w:asciiTheme="minorHAnsi" w:hAnsiTheme="minorHAnsi" w:cstheme="minorHAnsi"/>
                  <w:color w:val="0000FF"/>
                  <w:sz w:val="22"/>
                  <w:szCs w:val="22"/>
                  <w:u w:val="single"/>
                </w:rPr>
                <w:t>School Provision for Refugee Children and New Arrivals - The Bell Foundation</w:t>
              </w:r>
            </w:hyperlink>
          </w:p>
          <w:p w14:paraId="5FACAE3E" w14:textId="77777777" w:rsidR="00AA5228" w:rsidRPr="00A56151" w:rsidRDefault="00AA5228" w:rsidP="004A2727">
            <w:pPr>
              <w:pStyle w:val="TableRowCentered"/>
              <w:ind w:right="0"/>
              <w:jc w:val="left"/>
              <w:rPr>
                <w:rStyle w:val="Strong"/>
                <w:rFonts w:asciiTheme="minorHAnsi" w:hAnsiTheme="minorHAnsi" w:cstheme="minorHAnsi"/>
                <w:sz w:val="22"/>
                <w:szCs w:val="22"/>
              </w:rPr>
            </w:pPr>
          </w:p>
          <w:p w14:paraId="2A7D552E" w14:textId="083B9147" w:rsidR="00AA5228" w:rsidRPr="00A56151" w:rsidRDefault="00AA5228" w:rsidP="004A2727">
            <w:pPr>
              <w:pStyle w:val="TableRowCentered"/>
              <w:ind w:right="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7473483" w:rsidR="003C53A9" w:rsidRPr="00A56151" w:rsidRDefault="003B7A78" w:rsidP="0083439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t>2,3,6</w:t>
            </w:r>
          </w:p>
        </w:tc>
      </w:tr>
      <w:tr w:rsidR="003C53A9" w:rsidRPr="00A56151" w14:paraId="563B43B3" w14:textId="77777777" w:rsidTr="003C53A9">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AFF6A" w14:textId="77777777" w:rsidR="003C53A9" w:rsidRPr="00A56151" w:rsidRDefault="003C53A9" w:rsidP="007F40CE">
            <w:pPr>
              <w:pStyle w:val="NormalWeb"/>
              <w:rPr>
                <w:rFonts w:asciiTheme="minorHAnsi" w:hAnsiTheme="minorHAnsi" w:cstheme="minorHAnsi"/>
                <w:sz w:val="22"/>
                <w:szCs w:val="22"/>
              </w:rPr>
            </w:pPr>
            <w:r w:rsidRPr="00A56151">
              <w:rPr>
                <w:rFonts w:asciiTheme="minorHAnsi" w:hAnsiTheme="minorHAnsi" w:cstheme="minorHAnsi"/>
                <w:sz w:val="22"/>
                <w:szCs w:val="22"/>
              </w:rPr>
              <w:t>To improve pupil attainment and progress by strengthening behaviour for learning through targeted interventions that address social, emotional, and mental health needs. This includes ensuring that pupils requiring additional support have timely access to emotional well-being guidance and tailored pastoral care.</w:t>
            </w:r>
          </w:p>
          <w:p w14:paraId="33185F71" w14:textId="6ED3BF33" w:rsidR="003C53A9" w:rsidRPr="00A56151" w:rsidRDefault="003C53A9" w:rsidP="0083439F">
            <w:pPr>
              <w:pStyle w:val="TableRow"/>
              <w:ind w:left="0" w:right="0"/>
              <w:rPr>
                <w:rFonts w:asciiTheme="minorHAnsi" w:hAnsiTheme="minorHAnsi" w:cstheme="minorHAnsi"/>
                <w:bCs/>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F0A9" w14:textId="1EE8E0DD" w:rsidR="00961AA2" w:rsidRPr="00A56151" w:rsidRDefault="00961AA2" w:rsidP="00961AA2">
            <w:pPr>
              <w:suppressAutoHyphens w:val="0"/>
              <w:autoSpaceDN/>
              <w:spacing w:before="100" w:beforeAutospacing="1" w:after="100" w:afterAutospacing="1" w:line="240" w:lineRule="auto"/>
              <w:rPr>
                <w:rFonts w:asciiTheme="minorHAnsi" w:hAnsiTheme="minorHAnsi" w:cstheme="minorHAnsi"/>
                <w:b/>
                <w:bCs/>
                <w:color w:val="auto"/>
                <w:sz w:val="22"/>
                <w:szCs w:val="22"/>
              </w:rPr>
            </w:pPr>
            <w:r w:rsidRPr="00A56151">
              <w:rPr>
                <w:rFonts w:asciiTheme="minorHAnsi" w:hAnsiTheme="minorHAnsi" w:cstheme="minorHAnsi"/>
                <w:b/>
                <w:bCs/>
                <w:color w:val="auto"/>
                <w:sz w:val="22"/>
                <w:szCs w:val="22"/>
              </w:rPr>
              <w:t>Education Endowment Foundation (EEF) – Behaviour Interventions</w:t>
            </w:r>
          </w:p>
          <w:p w14:paraId="1CC47838" w14:textId="15005E15" w:rsidR="00961AA2" w:rsidRPr="00A56151" w:rsidRDefault="00677995" w:rsidP="00961AA2">
            <w:pPr>
              <w:suppressAutoHyphens w:val="0"/>
              <w:autoSpaceDN/>
              <w:spacing w:before="100" w:beforeAutospacing="1" w:after="100" w:afterAutospacing="1" w:line="240" w:lineRule="auto"/>
              <w:rPr>
                <w:rFonts w:asciiTheme="minorHAnsi" w:hAnsiTheme="minorHAnsi" w:cstheme="minorHAnsi"/>
                <w:sz w:val="22"/>
                <w:szCs w:val="22"/>
              </w:rPr>
            </w:pPr>
            <w:hyperlink r:id="rId20" w:history="1">
              <w:r w:rsidRPr="00A56151">
                <w:rPr>
                  <w:rFonts w:asciiTheme="minorHAnsi" w:hAnsiTheme="minorHAnsi" w:cstheme="minorHAnsi"/>
                  <w:color w:val="0000FF"/>
                  <w:sz w:val="22"/>
                  <w:szCs w:val="22"/>
                  <w:u w:val="single"/>
                </w:rPr>
                <w:t>Behaviour interventions | EEF</w:t>
              </w:r>
            </w:hyperlink>
          </w:p>
          <w:p w14:paraId="4F7B748C" w14:textId="7DC2B247" w:rsidR="00677995" w:rsidRPr="00A56151" w:rsidRDefault="00677995" w:rsidP="00961AA2">
            <w:pPr>
              <w:suppressAutoHyphens w:val="0"/>
              <w:autoSpaceDN/>
              <w:spacing w:before="100" w:beforeAutospacing="1" w:after="100" w:afterAutospacing="1" w:line="240" w:lineRule="auto"/>
              <w:rPr>
                <w:rFonts w:asciiTheme="minorHAnsi" w:hAnsiTheme="minorHAnsi" w:cstheme="minorHAnsi"/>
                <w:sz w:val="22"/>
                <w:szCs w:val="22"/>
              </w:rPr>
            </w:pPr>
            <w:r w:rsidRPr="00A56151">
              <w:rPr>
                <w:rFonts w:asciiTheme="minorHAnsi" w:hAnsiTheme="minorHAnsi" w:cstheme="minorHAnsi"/>
                <w:sz w:val="22"/>
                <w:szCs w:val="22"/>
              </w:rPr>
              <w:t>University of Manchester – Teacher-Student Relationships and Personalised SEMH Support</w:t>
            </w:r>
          </w:p>
          <w:p w14:paraId="2197FA48" w14:textId="76227ACE" w:rsidR="00677995" w:rsidRPr="00A56151" w:rsidRDefault="00677995" w:rsidP="00961AA2">
            <w:pPr>
              <w:suppressAutoHyphens w:val="0"/>
              <w:autoSpaceDN/>
              <w:spacing w:before="100" w:beforeAutospacing="1" w:after="100" w:afterAutospacing="1" w:line="240" w:lineRule="auto"/>
              <w:rPr>
                <w:rFonts w:asciiTheme="minorHAnsi" w:hAnsiTheme="minorHAnsi" w:cstheme="minorHAnsi"/>
                <w:color w:val="auto"/>
                <w:sz w:val="22"/>
                <w:szCs w:val="22"/>
              </w:rPr>
            </w:pPr>
            <w:hyperlink r:id="rId21" w:history="1">
              <w:r w:rsidRPr="00A56151">
                <w:rPr>
                  <w:rFonts w:asciiTheme="minorHAnsi" w:hAnsiTheme="minorHAnsi" w:cstheme="minorHAnsi"/>
                  <w:color w:val="0000FF"/>
                  <w:sz w:val="22"/>
                  <w:szCs w:val="22"/>
                  <w:u w:val="single"/>
                </w:rPr>
                <w:t>Supporting students with SEMH needs: An exploration of teacher-student relationships and the use of personalised learning approaches. - Research Explorer The University of Manchester</w:t>
              </w:r>
            </w:hyperlink>
          </w:p>
          <w:p w14:paraId="49124898" w14:textId="4C7F648E" w:rsidR="003C53A9" w:rsidRPr="00A56151" w:rsidRDefault="003C53A9" w:rsidP="0083439F">
            <w:pPr>
              <w:pStyle w:val="TableRowCentered"/>
              <w:ind w:left="0" w:right="0"/>
              <w:jc w:val="left"/>
              <w:rPr>
                <w:rFonts w:asciiTheme="minorHAnsi" w:hAnsiTheme="minorHAnsi" w:cstheme="minorHAnsi"/>
                <w:b/>
                <w:bCs/>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7C130" w14:textId="3032D9F6" w:rsidR="003C53A9" w:rsidRPr="00A56151" w:rsidRDefault="0011207E" w:rsidP="0083439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t>3,5</w:t>
            </w:r>
          </w:p>
        </w:tc>
      </w:tr>
    </w:tbl>
    <w:p w14:paraId="2A7D5531" w14:textId="77777777" w:rsidR="00E66558" w:rsidRPr="00A56151" w:rsidRDefault="00E66558" w:rsidP="00AA355B"/>
    <w:p w14:paraId="2A7D5532" w14:textId="59A68BC3" w:rsidR="00E66558" w:rsidRPr="00A56151" w:rsidRDefault="009D71E8" w:rsidP="00AA355B">
      <w:pPr>
        <w:pStyle w:val="Heading3"/>
      </w:pPr>
      <w:r w:rsidRPr="00A56151">
        <w:lastRenderedPageBreak/>
        <w:t>Wider strategies (for example, related to attendance, behaviour, wellbeing)</w:t>
      </w:r>
    </w:p>
    <w:p w14:paraId="2A7D5533" w14:textId="0AB1E8C1" w:rsidR="00E66558" w:rsidRPr="00A56151" w:rsidRDefault="009D71E8">
      <w:pPr>
        <w:spacing w:before="240" w:after="120"/>
      </w:pPr>
      <w:r w:rsidRPr="00A56151">
        <w:t xml:space="preserve">Budgeted cost: £ </w:t>
      </w:r>
      <w:r w:rsidR="002D4FF1" w:rsidRPr="00A56151">
        <w:rPr>
          <w:i/>
          <w:iCs/>
        </w:rPr>
        <w:t>2</w:t>
      </w:r>
      <w:r w:rsidR="7392B463" w:rsidRPr="00A56151">
        <w:rPr>
          <w:i/>
          <w:iCs/>
        </w:rPr>
        <w:t>40</w:t>
      </w:r>
      <w:r w:rsidR="002D4FF1" w:rsidRPr="00A56151">
        <w:rPr>
          <w:i/>
          <w:iCs/>
        </w:rPr>
        <w:t>,</w:t>
      </w:r>
      <w:r w:rsidR="64FA708B" w:rsidRPr="00A56151">
        <w:rPr>
          <w:i/>
          <w:iCs/>
        </w:rPr>
        <w:t>2</w:t>
      </w:r>
      <w:r w:rsidR="002D4FF1" w:rsidRPr="00A56151">
        <w:rPr>
          <w:i/>
          <w:iCs/>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A56151"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A56151" w:rsidRDefault="009D71E8" w:rsidP="00C31636">
            <w:pPr>
              <w:pStyle w:val="TableHeader"/>
              <w:ind w:left="0" w:right="0"/>
              <w:jc w:val="left"/>
            </w:pPr>
            <w:r w:rsidRPr="00A56151">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A56151" w:rsidRDefault="009D71E8" w:rsidP="00C31636">
            <w:pPr>
              <w:pStyle w:val="TableHeader"/>
              <w:ind w:left="0" w:right="0"/>
              <w:jc w:val="left"/>
            </w:pPr>
            <w:r w:rsidRPr="00A56151">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A56151" w:rsidRDefault="009D71E8" w:rsidP="00C31636">
            <w:pPr>
              <w:pStyle w:val="TableHeader"/>
              <w:ind w:left="0" w:right="0"/>
              <w:jc w:val="left"/>
            </w:pPr>
            <w:r w:rsidRPr="00A56151">
              <w:t>Challenge number(s) addressed</w:t>
            </w:r>
          </w:p>
        </w:tc>
      </w:tr>
      <w:tr w:rsidR="00AF4EDF" w:rsidRPr="00A56151" w14:paraId="7EDE06F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5C0F" w14:textId="77777777" w:rsidR="00AF4EDF" w:rsidRPr="00BE7603" w:rsidRDefault="00AF4EDF" w:rsidP="00AF4EDF">
            <w:pPr>
              <w:spacing w:line="240" w:lineRule="auto"/>
              <w:rPr>
                <w:rFonts w:asciiTheme="minorHAnsi" w:hAnsiTheme="minorHAnsi" w:cstheme="minorHAnsi"/>
                <w:sz w:val="22"/>
                <w:szCs w:val="22"/>
              </w:rPr>
            </w:pPr>
            <w:r w:rsidRPr="00BE7603">
              <w:rPr>
                <w:rFonts w:asciiTheme="minorHAnsi" w:hAnsiTheme="minorHAnsi" w:cstheme="minorHAnsi"/>
                <w:sz w:val="22"/>
                <w:szCs w:val="22"/>
              </w:rPr>
              <w:t>To improve attendance rates among Pupil Premium students through targeted monitoring, mentoring, and parental engagement.</w:t>
            </w:r>
          </w:p>
          <w:p w14:paraId="027592C8" w14:textId="77777777" w:rsidR="00AF4EDF" w:rsidRPr="00BE7603" w:rsidRDefault="00AF4EDF" w:rsidP="00AF4EDF">
            <w:pPr>
              <w:pStyle w:val="NormalWeb"/>
              <w:rPr>
                <w:rFonts w:asciiTheme="minorHAnsi" w:hAnsiTheme="minorHAnsi" w:cstheme="minorHAnsi"/>
                <w:sz w:val="22"/>
                <w:szCs w:val="22"/>
              </w:rPr>
            </w:pPr>
            <w:r w:rsidRPr="00BE7603">
              <w:rPr>
                <w:rFonts w:asciiTheme="minorHAnsi" w:hAnsiTheme="minorHAnsi" w:cstheme="minorHAnsi"/>
                <w:sz w:val="22"/>
                <w:szCs w:val="22"/>
              </w:rPr>
              <w:t>Dedicated attendance staff will:</w:t>
            </w:r>
          </w:p>
          <w:p w14:paraId="738CA246" w14:textId="77777777" w:rsidR="00AF4EDF" w:rsidRPr="00BE7603" w:rsidRDefault="00AF4EDF" w:rsidP="00AF4EDF">
            <w:pPr>
              <w:pStyle w:val="NormalWeb"/>
              <w:numPr>
                <w:ilvl w:val="0"/>
                <w:numId w:val="29"/>
              </w:numPr>
              <w:rPr>
                <w:rFonts w:asciiTheme="minorHAnsi" w:hAnsiTheme="minorHAnsi" w:cstheme="minorHAnsi"/>
                <w:sz w:val="22"/>
                <w:szCs w:val="22"/>
              </w:rPr>
            </w:pPr>
            <w:r w:rsidRPr="00BE7603">
              <w:rPr>
                <w:rFonts w:asciiTheme="minorHAnsi" w:hAnsiTheme="minorHAnsi" w:cstheme="minorHAnsi"/>
                <w:sz w:val="22"/>
                <w:szCs w:val="22"/>
              </w:rPr>
              <w:t>Monitor attendance patterns and identify pupils at risk of persistent absence</w:t>
            </w:r>
          </w:p>
          <w:p w14:paraId="753A4A4B" w14:textId="77777777" w:rsidR="00AF4EDF" w:rsidRPr="00BE7603" w:rsidRDefault="00AF4EDF" w:rsidP="00AF4EDF">
            <w:pPr>
              <w:pStyle w:val="NormalWeb"/>
              <w:numPr>
                <w:ilvl w:val="0"/>
                <w:numId w:val="29"/>
              </w:numPr>
              <w:rPr>
                <w:rFonts w:asciiTheme="minorHAnsi" w:hAnsiTheme="minorHAnsi" w:cstheme="minorHAnsi"/>
                <w:sz w:val="22"/>
                <w:szCs w:val="22"/>
              </w:rPr>
            </w:pPr>
            <w:r w:rsidRPr="00BE7603">
              <w:rPr>
                <w:rFonts w:asciiTheme="minorHAnsi" w:hAnsiTheme="minorHAnsi" w:cstheme="minorHAnsi"/>
                <w:sz w:val="22"/>
                <w:szCs w:val="22"/>
              </w:rPr>
              <w:t>Provide tailored mentoring to address barriers to attendance</w:t>
            </w:r>
          </w:p>
          <w:p w14:paraId="67A9E527" w14:textId="5841218C" w:rsidR="00AF4EDF" w:rsidRPr="00BE7603" w:rsidRDefault="00AF4EDF" w:rsidP="00AF4EDF">
            <w:pPr>
              <w:pStyle w:val="TableRow"/>
              <w:ind w:left="0" w:right="0"/>
              <w:rPr>
                <w:rFonts w:asciiTheme="minorHAnsi" w:hAnsiTheme="minorHAnsi" w:cstheme="minorHAnsi"/>
                <w:sz w:val="22"/>
                <w:szCs w:val="22"/>
              </w:rPr>
            </w:pPr>
            <w:r w:rsidRPr="00BE7603">
              <w:rPr>
                <w:rFonts w:asciiTheme="minorHAnsi" w:hAnsiTheme="minorHAnsi" w:cstheme="minorHAnsi"/>
                <w:sz w:val="22"/>
                <w:szCs w:val="22"/>
              </w:rPr>
              <w:t>Work proactively with parents and carers to build supportive partnerships and encourage regular school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0CCE7" w14:textId="77777777" w:rsidR="00AF4EDF" w:rsidRPr="00BE7603" w:rsidRDefault="00AF4EDF" w:rsidP="00AF4EDF">
            <w:pPr>
              <w:pStyle w:val="TableRowCentered"/>
              <w:ind w:left="0" w:right="0"/>
              <w:jc w:val="left"/>
              <w:rPr>
                <w:rStyle w:val="Strong"/>
                <w:rFonts w:asciiTheme="minorHAnsi" w:hAnsiTheme="minorHAnsi" w:cstheme="minorHAnsi"/>
                <w:sz w:val="22"/>
                <w:szCs w:val="22"/>
              </w:rPr>
            </w:pPr>
            <w:r w:rsidRPr="00BE7603">
              <w:rPr>
                <w:rStyle w:val="Strong"/>
                <w:rFonts w:asciiTheme="minorHAnsi" w:hAnsiTheme="minorHAnsi" w:cstheme="minorHAnsi"/>
                <w:sz w:val="22"/>
                <w:szCs w:val="22"/>
              </w:rPr>
              <w:t>Education Endowment Foundation (EEF) – Rapid Evidence Assessment on Attendance Interventions</w:t>
            </w:r>
          </w:p>
          <w:p w14:paraId="7AB199F9" w14:textId="77777777" w:rsidR="00AF4EDF" w:rsidRPr="00BE7603" w:rsidRDefault="00AF4EDF" w:rsidP="00AF4EDF">
            <w:pPr>
              <w:pStyle w:val="TableRowCentered"/>
              <w:ind w:left="0" w:right="0"/>
              <w:jc w:val="left"/>
              <w:rPr>
                <w:rStyle w:val="Strong"/>
                <w:rFonts w:asciiTheme="minorHAnsi" w:hAnsiTheme="minorHAnsi" w:cstheme="minorHAnsi"/>
                <w:sz w:val="22"/>
                <w:szCs w:val="22"/>
              </w:rPr>
            </w:pPr>
          </w:p>
          <w:p w14:paraId="0A6CE06B" w14:textId="77777777" w:rsidR="00AF4EDF" w:rsidRPr="00BE7603" w:rsidRDefault="00AF4EDF" w:rsidP="00AF4EDF">
            <w:pPr>
              <w:pStyle w:val="TableRowCentered"/>
              <w:ind w:left="0" w:right="0"/>
              <w:jc w:val="left"/>
              <w:rPr>
                <w:rFonts w:asciiTheme="minorHAnsi" w:hAnsiTheme="minorHAnsi" w:cstheme="minorHAnsi"/>
                <w:sz w:val="22"/>
                <w:szCs w:val="22"/>
              </w:rPr>
            </w:pPr>
            <w:hyperlink r:id="rId22" w:history="1">
              <w:r w:rsidRPr="00BE7603">
                <w:rPr>
                  <w:rFonts w:asciiTheme="minorHAnsi" w:hAnsiTheme="minorHAnsi" w:cstheme="minorHAnsi"/>
                  <w:color w:val="0000FF"/>
                  <w:sz w:val="22"/>
                  <w:szCs w:val="22"/>
                  <w:u w:val="single"/>
                </w:rPr>
                <w:t>Attendance interventions rapid evidence assessment | EEF</w:t>
              </w:r>
            </w:hyperlink>
          </w:p>
          <w:p w14:paraId="0DEA1F33" w14:textId="77777777" w:rsidR="00AF4EDF" w:rsidRPr="00BE7603" w:rsidRDefault="00AF4EDF" w:rsidP="00AF4EDF">
            <w:pPr>
              <w:pStyle w:val="TableRowCentered"/>
              <w:ind w:left="0" w:right="0"/>
              <w:jc w:val="left"/>
              <w:rPr>
                <w:rFonts w:asciiTheme="minorHAnsi" w:hAnsiTheme="minorHAnsi" w:cstheme="minorHAnsi"/>
                <w:sz w:val="22"/>
                <w:szCs w:val="22"/>
              </w:rPr>
            </w:pPr>
          </w:p>
          <w:p w14:paraId="69BB8F16" w14:textId="77777777" w:rsidR="00AF4EDF" w:rsidRPr="00BE7603" w:rsidRDefault="00AF4EDF" w:rsidP="00AF4EDF">
            <w:pPr>
              <w:pStyle w:val="TableRowCentered"/>
              <w:ind w:left="0" w:right="0"/>
              <w:jc w:val="left"/>
              <w:rPr>
                <w:rFonts w:asciiTheme="minorHAnsi" w:hAnsiTheme="minorHAnsi" w:cstheme="minorHAnsi"/>
                <w:sz w:val="22"/>
                <w:szCs w:val="22"/>
              </w:rPr>
            </w:pPr>
            <w:r w:rsidRPr="00BE7603">
              <w:rPr>
                <w:rFonts w:asciiTheme="minorHAnsi" w:hAnsiTheme="minorHAnsi" w:cstheme="minorHAnsi"/>
                <w:sz w:val="22"/>
                <w:szCs w:val="22"/>
              </w:rPr>
              <w:t>DfE RISE Programme – Attendance Mentoring and Data-Driven Support</w:t>
            </w:r>
          </w:p>
          <w:p w14:paraId="5B6D3B99" w14:textId="77777777" w:rsidR="00AF4EDF" w:rsidRPr="00BE7603" w:rsidRDefault="00AF4EDF" w:rsidP="00AF4EDF">
            <w:pPr>
              <w:pStyle w:val="TableRowCentered"/>
              <w:ind w:left="0" w:right="0"/>
              <w:jc w:val="left"/>
              <w:rPr>
                <w:rFonts w:asciiTheme="minorHAnsi" w:hAnsiTheme="minorHAnsi" w:cstheme="minorHAnsi"/>
                <w:sz w:val="22"/>
                <w:szCs w:val="22"/>
              </w:rPr>
            </w:pPr>
          </w:p>
          <w:p w14:paraId="7BC90193" w14:textId="0894390C" w:rsidR="00AF4EDF" w:rsidRPr="00BE7603" w:rsidRDefault="00AF4EDF" w:rsidP="00AF4EDF">
            <w:pPr>
              <w:spacing w:line="240" w:lineRule="auto"/>
              <w:rPr>
                <w:rStyle w:val="Strong"/>
                <w:rFonts w:asciiTheme="minorHAnsi" w:hAnsiTheme="minorHAnsi" w:cstheme="minorHAnsi"/>
                <w:sz w:val="22"/>
                <w:szCs w:val="22"/>
              </w:rPr>
            </w:pPr>
            <w:r w:rsidRPr="00BE7603">
              <w:rPr>
                <w:rFonts w:asciiTheme="minorHAnsi" w:hAnsiTheme="minorHAnsi" w:cstheme="minorHAnsi"/>
                <w:sz w:val="22"/>
                <w:szCs w:val="22"/>
              </w:rPr>
              <w:t xml:space="preserve">Focuses on </w:t>
            </w:r>
            <w:r w:rsidRPr="00BE7603">
              <w:rPr>
                <w:rStyle w:val="Strong"/>
                <w:rFonts w:asciiTheme="minorHAnsi" w:hAnsiTheme="minorHAnsi" w:cstheme="minorHAnsi"/>
                <w:sz w:val="22"/>
                <w:szCs w:val="22"/>
              </w:rPr>
              <w:t>early intervention</w:t>
            </w:r>
            <w:r w:rsidRPr="00BE7603">
              <w:rPr>
                <w:rFonts w:asciiTheme="minorHAnsi" w:hAnsiTheme="minorHAnsi" w:cstheme="minorHAnsi"/>
                <w:sz w:val="22"/>
                <w:szCs w:val="22"/>
              </w:rPr>
              <w:t xml:space="preserve">, </w:t>
            </w:r>
            <w:r w:rsidRPr="00BE7603">
              <w:rPr>
                <w:rStyle w:val="Strong"/>
                <w:rFonts w:asciiTheme="minorHAnsi" w:hAnsiTheme="minorHAnsi" w:cstheme="minorHAnsi"/>
                <w:sz w:val="22"/>
                <w:szCs w:val="22"/>
              </w:rPr>
              <w:t>relationship-building</w:t>
            </w:r>
            <w:r w:rsidRPr="00BE7603">
              <w:rPr>
                <w:rFonts w:asciiTheme="minorHAnsi" w:hAnsiTheme="minorHAnsi" w:cstheme="minorHAnsi"/>
                <w:sz w:val="22"/>
                <w:szCs w:val="22"/>
              </w:rPr>
              <w:t xml:space="preserve">, and </w:t>
            </w:r>
            <w:r w:rsidRPr="00BE7603">
              <w:rPr>
                <w:rStyle w:val="Strong"/>
                <w:rFonts w:asciiTheme="minorHAnsi" w:hAnsiTheme="minorHAnsi" w:cstheme="minorHAnsi"/>
                <w:sz w:val="22"/>
                <w:szCs w:val="22"/>
              </w:rPr>
              <w:t>removing practical barriers</w:t>
            </w:r>
            <w:r w:rsidRPr="00BE7603">
              <w:rPr>
                <w:rFonts w:asciiTheme="minorHAnsi" w:hAnsiTheme="minorHAnsi" w:cstheme="minorHAnsi"/>
                <w:sz w:val="22"/>
                <w:szCs w:val="22"/>
              </w:rPr>
              <w:t xml:space="preserve"> to attendance.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E60A2" w14:textId="29E08311" w:rsidR="00AF4EDF" w:rsidRPr="00A56151" w:rsidRDefault="0011207E" w:rsidP="00AF4ED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t>3</w:t>
            </w:r>
          </w:p>
        </w:tc>
      </w:tr>
      <w:tr w:rsidR="00AF4EDF" w:rsidRPr="00A56151"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652FECE5" w:rsidR="00AF4EDF" w:rsidRPr="00BE7603" w:rsidRDefault="00AF4EDF" w:rsidP="00AF4EDF">
            <w:pPr>
              <w:pStyle w:val="TableRow"/>
              <w:ind w:left="0" w:right="0"/>
              <w:rPr>
                <w:rFonts w:asciiTheme="minorHAnsi" w:hAnsiTheme="minorHAnsi" w:cstheme="minorHAnsi"/>
                <w:i/>
                <w:sz w:val="22"/>
                <w:szCs w:val="22"/>
              </w:rPr>
            </w:pPr>
            <w:r w:rsidRPr="00BE7603">
              <w:rPr>
                <w:rFonts w:asciiTheme="minorHAnsi" w:hAnsiTheme="minorHAnsi" w:cstheme="minorHAnsi"/>
                <w:sz w:val="22"/>
                <w:szCs w:val="22"/>
              </w:rPr>
              <w:t>To raise aspirations and expand future pathways for all pupils through tailored careers advice and support, complemented by events and experiences that broaden horizons and inspire ambition.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FEDEC" w14:textId="77777777" w:rsidR="00AF4EDF" w:rsidRPr="00BE7603" w:rsidRDefault="00AF4EDF" w:rsidP="00AF4EDF">
            <w:pPr>
              <w:spacing w:line="240" w:lineRule="auto"/>
              <w:rPr>
                <w:rStyle w:val="Strong"/>
                <w:rFonts w:asciiTheme="minorHAnsi" w:hAnsiTheme="minorHAnsi" w:cstheme="minorHAnsi"/>
                <w:sz w:val="22"/>
                <w:szCs w:val="22"/>
              </w:rPr>
            </w:pPr>
            <w:r w:rsidRPr="00BE7603">
              <w:rPr>
                <w:rStyle w:val="Strong"/>
                <w:rFonts w:asciiTheme="minorHAnsi" w:hAnsiTheme="minorHAnsi" w:cstheme="minorHAnsi"/>
                <w:sz w:val="22"/>
                <w:szCs w:val="22"/>
              </w:rPr>
              <w:t>Education Endowment Foundation (EEF) – Aspiration Interventions</w:t>
            </w:r>
          </w:p>
          <w:p w14:paraId="5B143E59" w14:textId="77777777" w:rsidR="00AF4EDF" w:rsidRPr="00BE7603" w:rsidRDefault="00AF4EDF" w:rsidP="00AF4EDF">
            <w:pPr>
              <w:pStyle w:val="TableRowCentered"/>
              <w:ind w:left="0" w:right="0"/>
              <w:jc w:val="left"/>
              <w:rPr>
                <w:rFonts w:asciiTheme="minorHAnsi" w:hAnsiTheme="minorHAnsi" w:cstheme="minorHAnsi"/>
                <w:sz w:val="22"/>
                <w:szCs w:val="22"/>
              </w:rPr>
            </w:pPr>
            <w:hyperlink r:id="rId23" w:history="1">
              <w:r w:rsidRPr="00BE7603">
                <w:rPr>
                  <w:rFonts w:asciiTheme="minorHAnsi" w:hAnsiTheme="minorHAnsi" w:cstheme="minorHAnsi"/>
                  <w:color w:val="0000FF"/>
                  <w:sz w:val="22"/>
                  <w:szCs w:val="22"/>
                  <w:u w:val="single"/>
                </w:rPr>
                <w:t>Aspiration interventions | EEF</w:t>
              </w:r>
            </w:hyperlink>
          </w:p>
          <w:p w14:paraId="10022966" w14:textId="77777777" w:rsidR="00AF4EDF" w:rsidRPr="00BE7603" w:rsidRDefault="00AF4EDF" w:rsidP="00AF4EDF">
            <w:pPr>
              <w:pStyle w:val="TableRowCentered"/>
              <w:ind w:left="0" w:right="0"/>
              <w:jc w:val="left"/>
              <w:rPr>
                <w:rFonts w:asciiTheme="minorHAnsi" w:hAnsiTheme="minorHAnsi" w:cstheme="minorHAnsi"/>
                <w:sz w:val="22"/>
                <w:szCs w:val="22"/>
              </w:rPr>
            </w:pPr>
          </w:p>
          <w:p w14:paraId="2A7D553D" w14:textId="0545D7A4" w:rsidR="00AF4EDF" w:rsidRPr="00BE7603" w:rsidRDefault="00AF4EDF" w:rsidP="00AF4EDF">
            <w:pPr>
              <w:pStyle w:val="TableRowCentered"/>
              <w:ind w:left="0" w:right="0"/>
              <w:jc w:val="left"/>
              <w:rPr>
                <w:rFonts w:asciiTheme="minorHAnsi" w:hAnsiTheme="minorHAnsi" w:cstheme="minorHAnsi"/>
                <w:sz w:val="22"/>
                <w:szCs w:val="22"/>
              </w:rPr>
            </w:pPr>
            <w:r w:rsidRPr="00BE7603">
              <w:rPr>
                <w:rStyle w:val="Strong"/>
                <w:rFonts w:asciiTheme="minorHAnsi" w:hAnsiTheme="minorHAnsi" w:cstheme="minorHAnsi"/>
                <w:sz w:val="22"/>
                <w:szCs w:val="22"/>
              </w:rPr>
              <w:t>Education and Employers Research – Employer Engagement in Education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97ECB7C" w:rsidR="00AF4EDF" w:rsidRPr="00A56151" w:rsidRDefault="0011207E" w:rsidP="00AF4ED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t>2,3,4</w:t>
            </w:r>
          </w:p>
        </w:tc>
      </w:tr>
      <w:tr w:rsidR="00AF4EDF" w:rsidRPr="00A56151" w14:paraId="33ED50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2AECA" w14:textId="4F57F6FC" w:rsidR="00AF4EDF" w:rsidRPr="00BE7603" w:rsidRDefault="0097282A" w:rsidP="00AF4EDF">
            <w:pPr>
              <w:rPr>
                <w:rFonts w:asciiTheme="minorHAnsi" w:hAnsiTheme="minorHAnsi" w:cstheme="minorHAnsi"/>
                <w:color w:val="333333"/>
                <w:sz w:val="22"/>
                <w:szCs w:val="22"/>
              </w:rPr>
            </w:pPr>
            <w:r w:rsidRPr="00BE7603">
              <w:rPr>
                <w:rFonts w:asciiTheme="minorHAnsi" w:hAnsiTheme="minorHAnsi" w:cstheme="minorHAnsi"/>
                <w:sz w:val="22"/>
                <w:szCs w:val="22"/>
              </w:rPr>
              <w:t xml:space="preserve">To enrich the curriculum experience of disadvantaged pupils through a broad and balanced offer that actively promotes cultural capital. This includes a comprehensive extracurricular programme </w:t>
            </w:r>
            <w:r w:rsidRPr="00BE7603">
              <w:rPr>
                <w:rFonts w:asciiTheme="minorHAnsi" w:hAnsiTheme="minorHAnsi" w:cstheme="minorHAnsi"/>
                <w:sz w:val="22"/>
                <w:szCs w:val="22"/>
              </w:rPr>
              <w:lastRenderedPageBreak/>
              <w:t>encompassing school events, enrichment activities, educational visits, and residential trips—designed to broaden horizons and foster personal development. Funding is strategically sought from both internal budgets and external sources, including grants and community partnerships, to ensure equitable access and sustained participation for all targeted pupils.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4B170" w14:textId="1992C01A" w:rsidR="0095077B" w:rsidRPr="00BE7603" w:rsidRDefault="0095077B" w:rsidP="00AF4EDF">
            <w:pPr>
              <w:pStyle w:val="TableRowCentered"/>
              <w:ind w:left="0" w:right="0"/>
              <w:jc w:val="left"/>
              <w:rPr>
                <w:rFonts w:asciiTheme="minorHAnsi" w:hAnsiTheme="minorHAnsi" w:cstheme="minorHAnsi"/>
                <w:sz w:val="22"/>
                <w:szCs w:val="22"/>
              </w:rPr>
            </w:pPr>
            <w:r w:rsidRPr="00BE7603">
              <w:rPr>
                <w:rFonts w:asciiTheme="minorHAnsi" w:hAnsiTheme="minorHAnsi" w:cstheme="minorHAnsi"/>
                <w:sz w:val="22"/>
                <w:szCs w:val="22"/>
              </w:rPr>
              <w:lastRenderedPageBreak/>
              <w:t>Arts participation—including extracurricular activities and cultural trips—can positively impact pupil outcomes, especially for disadvantaged learners.</w:t>
            </w:r>
          </w:p>
          <w:p w14:paraId="73DDD278" w14:textId="77777777" w:rsidR="0095077B" w:rsidRPr="00BE7603" w:rsidRDefault="0095077B" w:rsidP="00AF4EDF">
            <w:pPr>
              <w:pStyle w:val="TableRowCentered"/>
              <w:ind w:left="0" w:right="0"/>
              <w:jc w:val="left"/>
              <w:rPr>
                <w:rFonts w:asciiTheme="minorHAnsi" w:hAnsiTheme="minorHAnsi" w:cstheme="minorHAnsi"/>
                <w:sz w:val="22"/>
                <w:szCs w:val="22"/>
              </w:rPr>
            </w:pPr>
          </w:p>
          <w:p w14:paraId="167A7C79" w14:textId="77777777" w:rsidR="00AF4EDF" w:rsidRPr="00BE7603" w:rsidRDefault="002A05E3" w:rsidP="00AF4EDF">
            <w:pPr>
              <w:pStyle w:val="TableRowCentered"/>
              <w:ind w:left="0" w:right="0"/>
              <w:jc w:val="left"/>
              <w:rPr>
                <w:rFonts w:asciiTheme="minorHAnsi" w:hAnsiTheme="minorHAnsi" w:cstheme="minorHAnsi"/>
                <w:sz w:val="22"/>
                <w:szCs w:val="22"/>
              </w:rPr>
            </w:pPr>
            <w:hyperlink r:id="rId24" w:history="1">
              <w:r w:rsidRPr="00BE7603">
                <w:rPr>
                  <w:rFonts w:asciiTheme="minorHAnsi" w:hAnsiTheme="minorHAnsi" w:cstheme="minorHAnsi"/>
                  <w:color w:val="0000FF"/>
                  <w:sz w:val="22"/>
                  <w:szCs w:val="22"/>
                  <w:u w:val="single"/>
                </w:rPr>
                <w:t>Arts participation | EEF</w:t>
              </w:r>
            </w:hyperlink>
          </w:p>
          <w:p w14:paraId="22835B88" w14:textId="77777777" w:rsidR="0095077B" w:rsidRPr="00BE7603" w:rsidRDefault="0095077B" w:rsidP="00AF4EDF">
            <w:pPr>
              <w:pStyle w:val="TableRowCentered"/>
              <w:ind w:left="0" w:right="0"/>
              <w:jc w:val="left"/>
              <w:rPr>
                <w:rFonts w:asciiTheme="minorHAnsi" w:hAnsiTheme="minorHAnsi" w:cstheme="minorHAnsi"/>
                <w:sz w:val="22"/>
                <w:szCs w:val="22"/>
                <w:lang w:val="en-US"/>
              </w:rPr>
            </w:pPr>
          </w:p>
          <w:p w14:paraId="28B089F3" w14:textId="77777777" w:rsidR="0095077B" w:rsidRPr="00BE7603" w:rsidRDefault="0095077B" w:rsidP="00AF4EDF">
            <w:pPr>
              <w:pStyle w:val="TableRowCentered"/>
              <w:ind w:left="0" w:right="0"/>
              <w:jc w:val="left"/>
              <w:rPr>
                <w:rFonts w:asciiTheme="minorHAnsi" w:hAnsiTheme="minorHAnsi" w:cstheme="minorHAnsi"/>
                <w:sz w:val="22"/>
                <w:szCs w:val="22"/>
              </w:rPr>
            </w:pPr>
            <w:r w:rsidRPr="00BE7603">
              <w:rPr>
                <w:rFonts w:asciiTheme="minorHAnsi" w:hAnsiTheme="minorHAnsi" w:cstheme="minorHAnsi"/>
                <w:sz w:val="22"/>
                <w:szCs w:val="22"/>
              </w:rPr>
              <w:t xml:space="preserve">Cultural and enrichment activities are shown to enhance cultural capital and remove </w:t>
            </w:r>
            <w:r w:rsidRPr="00BE7603">
              <w:rPr>
                <w:rFonts w:asciiTheme="minorHAnsi" w:hAnsiTheme="minorHAnsi" w:cstheme="minorHAnsi"/>
                <w:sz w:val="22"/>
                <w:szCs w:val="22"/>
              </w:rPr>
              <w:lastRenderedPageBreak/>
              <w:t>barriers to curriculum access for disadvantaged pupils.</w:t>
            </w:r>
          </w:p>
          <w:p w14:paraId="495426A4" w14:textId="77777777" w:rsidR="00D22127" w:rsidRPr="00BE7603" w:rsidRDefault="00D22127" w:rsidP="00AF4EDF">
            <w:pPr>
              <w:pStyle w:val="TableRowCentered"/>
              <w:ind w:left="0" w:right="0"/>
              <w:jc w:val="left"/>
              <w:rPr>
                <w:rFonts w:asciiTheme="minorHAnsi" w:hAnsiTheme="minorHAnsi" w:cstheme="minorHAnsi"/>
                <w:sz w:val="22"/>
                <w:szCs w:val="22"/>
                <w:lang w:val="en-US"/>
              </w:rPr>
            </w:pPr>
          </w:p>
          <w:p w14:paraId="3AFD05E5" w14:textId="77777777" w:rsidR="00D22127" w:rsidRPr="00BE7603" w:rsidRDefault="00D22127" w:rsidP="00AF4EDF">
            <w:pPr>
              <w:pStyle w:val="TableRowCentered"/>
              <w:ind w:left="0" w:right="0"/>
              <w:jc w:val="left"/>
              <w:rPr>
                <w:rFonts w:asciiTheme="minorHAnsi" w:hAnsiTheme="minorHAnsi" w:cstheme="minorHAnsi"/>
                <w:sz w:val="22"/>
                <w:szCs w:val="22"/>
              </w:rPr>
            </w:pPr>
            <w:hyperlink r:id="rId25" w:history="1">
              <w:r w:rsidRPr="00BE7603">
                <w:rPr>
                  <w:rFonts w:asciiTheme="minorHAnsi" w:hAnsiTheme="minorHAnsi" w:cstheme="minorHAnsi"/>
                  <w:color w:val="0000FF"/>
                  <w:sz w:val="22"/>
                  <w:szCs w:val="22"/>
                  <w:u w:val="single"/>
                </w:rPr>
                <w:t>Culture, Creativity and Narrowing the Gap | A New Direction</w:t>
              </w:r>
            </w:hyperlink>
          </w:p>
          <w:p w14:paraId="539094B7" w14:textId="77777777" w:rsidR="00D22127" w:rsidRPr="00BE7603" w:rsidRDefault="00D22127" w:rsidP="00AF4EDF">
            <w:pPr>
              <w:pStyle w:val="TableRowCentered"/>
              <w:ind w:left="0" w:right="0"/>
              <w:jc w:val="left"/>
              <w:rPr>
                <w:rFonts w:asciiTheme="minorHAnsi" w:hAnsiTheme="minorHAnsi" w:cstheme="minorHAnsi"/>
                <w:sz w:val="22"/>
                <w:szCs w:val="22"/>
                <w:lang w:val="en-US"/>
              </w:rPr>
            </w:pPr>
          </w:p>
          <w:p w14:paraId="5E46AF7B" w14:textId="2857866A" w:rsidR="00BC06A5" w:rsidRPr="00BE7603" w:rsidRDefault="00BC06A5" w:rsidP="00AF4EDF">
            <w:pPr>
              <w:pStyle w:val="TableRowCentered"/>
              <w:ind w:left="0" w:right="0"/>
              <w:jc w:val="left"/>
              <w:rPr>
                <w:rFonts w:asciiTheme="minorHAnsi" w:hAnsiTheme="minorHAnsi" w:cstheme="minorHAnsi"/>
                <w:sz w:val="22"/>
                <w:szCs w:val="22"/>
                <w:lang w:val="en-US"/>
              </w:rPr>
            </w:pPr>
            <w:r w:rsidRPr="00BE7603">
              <w:rPr>
                <w:rFonts w:asciiTheme="minorHAnsi" w:hAnsiTheme="minorHAnsi" w:cstheme="minorHAnsi"/>
                <w:sz w:val="22"/>
                <w:szCs w:val="22"/>
              </w:rPr>
              <w:t>The Department for Education recognises the importance of targeted funding and strategic use of pupil premium to close attainment gaps.</w:t>
            </w:r>
          </w:p>
          <w:p w14:paraId="5F4AFC13" w14:textId="77777777" w:rsidR="00BC06A5" w:rsidRPr="00BE7603" w:rsidRDefault="00BC06A5" w:rsidP="00AF4EDF">
            <w:pPr>
              <w:pStyle w:val="TableRowCentered"/>
              <w:ind w:left="0" w:right="0"/>
              <w:jc w:val="left"/>
              <w:rPr>
                <w:rFonts w:asciiTheme="minorHAnsi" w:hAnsiTheme="minorHAnsi" w:cstheme="minorHAnsi"/>
                <w:sz w:val="22"/>
                <w:szCs w:val="22"/>
                <w:lang w:val="en-US"/>
              </w:rPr>
            </w:pPr>
          </w:p>
          <w:p w14:paraId="2D686123" w14:textId="113F1FB6" w:rsidR="00D22127" w:rsidRPr="00BE7603" w:rsidRDefault="00D22127" w:rsidP="00AF4EDF">
            <w:pPr>
              <w:pStyle w:val="TableRowCentered"/>
              <w:ind w:left="0" w:right="0"/>
              <w:jc w:val="left"/>
              <w:rPr>
                <w:rFonts w:asciiTheme="minorHAnsi" w:hAnsiTheme="minorHAnsi" w:cstheme="minorHAnsi"/>
                <w:color w:val="000000"/>
                <w:sz w:val="22"/>
                <w:szCs w:val="22"/>
                <w:lang w:val="en-US"/>
              </w:rPr>
            </w:pPr>
            <w:hyperlink r:id="rId26" w:history="1">
              <w:r w:rsidRPr="00BE7603">
                <w:rPr>
                  <w:rFonts w:asciiTheme="minorHAnsi" w:hAnsiTheme="minorHAnsi" w:cstheme="minorHAnsi"/>
                  <w:color w:val="0000FF"/>
                  <w:sz w:val="22"/>
                  <w:szCs w:val="22"/>
                  <w:u w:val="single"/>
                </w:rPr>
                <w:t>Improving educational outcomes for disadvantaged children</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348D2" w14:textId="22D2B0D4" w:rsidR="00AF4EDF" w:rsidRPr="00A56151" w:rsidRDefault="0011207E" w:rsidP="00AF4ED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lastRenderedPageBreak/>
              <w:t>2,3,4</w:t>
            </w:r>
          </w:p>
        </w:tc>
      </w:tr>
      <w:tr w:rsidR="00171B65" w:rsidRPr="00A56151" w14:paraId="674412B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5B327" w14:textId="0EB0BB06" w:rsidR="00171B65" w:rsidRPr="00BE7603" w:rsidRDefault="00E83275" w:rsidP="00AF4EDF">
            <w:pPr>
              <w:rPr>
                <w:rFonts w:asciiTheme="minorHAnsi" w:hAnsiTheme="minorHAnsi" w:cstheme="minorHAnsi"/>
                <w:bCs/>
                <w:sz w:val="22"/>
                <w:szCs w:val="22"/>
              </w:rPr>
            </w:pPr>
            <w:r w:rsidRPr="00BE7603">
              <w:rPr>
                <w:rFonts w:asciiTheme="minorHAnsi" w:hAnsiTheme="minorHAnsi" w:cstheme="minorHAnsi"/>
                <w:sz w:val="22"/>
                <w:szCs w:val="22"/>
              </w:rPr>
              <w:t>To provide targeted intervention and sustained support for pupils experiencing emotional and behavioural challenges through a well-established pastoral team—comprising five Pastoral Leads, three Attendance Officers, a Senior Leadership Team (SLT) link for each year group, an Inclusion and Engagement Mentor, and a network of dedicated Form Tutors.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E0DF5" w14:textId="52B6593C" w:rsidR="00514F44" w:rsidRPr="00BE7603" w:rsidRDefault="00514F44" w:rsidP="00AF4EDF">
            <w:pPr>
              <w:pStyle w:val="TableRowCentered"/>
              <w:ind w:left="0" w:right="0"/>
              <w:jc w:val="left"/>
              <w:rPr>
                <w:rFonts w:asciiTheme="minorHAnsi" w:hAnsiTheme="minorHAnsi" w:cstheme="minorHAnsi"/>
                <w:sz w:val="22"/>
                <w:szCs w:val="22"/>
              </w:rPr>
            </w:pPr>
            <w:r w:rsidRPr="00BE7603">
              <w:rPr>
                <w:rFonts w:asciiTheme="minorHAnsi" w:hAnsiTheme="minorHAnsi" w:cstheme="minorHAnsi"/>
                <w:sz w:val="22"/>
                <w:szCs w:val="22"/>
              </w:rPr>
              <w:t xml:space="preserve">The EEF highlights that interventions are most effective when they are </w:t>
            </w:r>
            <w:r w:rsidRPr="00BE7603">
              <w:rPr>
                <w:rStyle w:val="Strong"/>
                <w:rFonts w:asciiTheme="minorHAnsi" w:hAnsiTheme="minorHAnsi" w:cstheme="minorHAnsi"/>
                <w:sz w:val="22"/>
                <w:szCs w:val="22"/>
              </w:rPr>
              <w:t>targeted to individual needs</w:t>
            </w:r>
            <w:r w:rsidRPr="00BE7603">
              <w:rPr>
                <w:rFonts w:asciiTheme="minorHAnsi" w:hAnsiTheme="minorHAnsi" w:cstheme="minorHAnsi"/>
                <w:sz w:val="22"/>
                <w:szCs w:val="22"/>
              </w:rPr>
              <w:t xml:space="preserve"> and delivered by trained staff within a consistent framework</w:t>
            </w:r>
          </w:p>
          <w:p w14:paraId="74530B3C" w14:textId="77777777" w:rsidR="00514F44" w:rsidRPr="00BE7603" w:rsidRDefault="00514F44" w:rsidP="00AF4EDF">
            <w:pPr>
              <w:pStyle w:val="TableRowCentered"/>
              <w:ind w:left="0" w:right="0"/>
              <w:jc w:val="left"/>
              <w:rPr>
                <w:rFonts w:asciiTheme="minorHAnsi" w:hAnsiTheme="minorHAnsi" w:cstheme="minorHAnsi"/>
                <w:sz w:val="22"/>
                <w:szCs w:val="22"/>
              </w:rPr>
            </w:pPr>
          </w:p>
          <w:p w14:paraId="18B649FA" w14:textId="77777777" w:rsidR="00171B65" w:rsidRPr="00BE7603" w:rsidRDefault="00B8563B" w:rsidP="00AF4EDF">
            <w:pPr>
              <w:pStyle w:val="TableRowCentered"/>
              <w:ind w:left="0" w:right="0"/>
              <w:jc w:val="left"/>
              <w:rPr>
                <w:rFonts w:asciiTheme="minorHAnsi" w:hAnsiTheme="minorHAnsi" w:cstheme="minorHAnsi"/>
                <w:sz w:val="22"/>
                <w:szCs w:val="22"/>
              </w:rPr>
            </w:pPr>
            <w:hyperlink r:id="rId27" w:history="1">
              <w:r w:rsidRPr="00BE7603">
                <w:rPr>
                  <w:rFonts w:asciiTheme="minorHAnsi" w:hAnsiTheme="minorHAnsi" w:cstheme="minorHAnsi"/>
                  <w:color w:val="0000FF"/>
                  <w:sz w:val="22"/>
                  <w:szCs w:val="22"/>
                  <w:u w:val="single"/>
                </w:rPr>
                <w:t>Behaviour interventions | EEF</w:t>
              </w:r>
            </w:hyperlink>
          </w:p>
          <w:p w14:paraId="1B240730" w14:textId="77777777" w:rsidR="00C21B23" w:rsidRPr="00BE7603" w:rsidRDefault="00C21B23" w:rsidP="00AF4EDF">
            <w:pPr>
              <w:pStyle w:val="TableRowCentered"/>
              <w:ind w:left="0" w:right="0"/>
              <w:jc w:val="left"/>
              <w:rPr>
                <w:rFonts w:asciiTheme="minorHAnsi" w:hAnsiTheme="minorHAnsi" w:cstheme="minorHAnsi"/>
                <w:sz w:val="22"/>
                <w:szCs w:val="22"/>
              </w:rPr>
            </w:pPr>
          </w:p>
          <w:p w14:paraId="07E9C7D8" w14:textId="34930949" w:rsidR="00C21B23" w:rsidRPr="00BE7603" w:rsidRDefault="00C21B23" w:rsidP="00AF4EDF">
            <w:pPr>
              <w:pStyle w:val="TableRowCentered"/>
              <w:ind w:left="0" w:right="0"/>
              <w:jc w:val="left"/>
              <w:rPr>
                <w:rFonts w:asciiTheme="minorHAnsi" w:hAnsiTheme="minorHAnsi" w:cstheme="minorHAnsi"/>
                <w:sz w:val="22"/>
                <w:szCs w:val="22"/>
              </w:rPr>
            </w:pPr>
            <w:r w:rsidRPr="00BE7603">
              <w:rPr>
                <w:rFonts w:asciiTheme="minorHAnsi" w:hAnsiTheme="minorHAnsi" w:cstheme="minorHAnsi"/>
                <w:sz w:val="22"/>
                <w:szCs w:val="22"/>
              </w:rPr>
              <w:t xml:space="preserve">Sustained support through pastoral teams aligns with the EEF’s recommendation to combine </w:t>
            </w:r>
            <w:r w:rsidRPr="00BE7603">
              <w:rPr>
                <w:rStyle w:val="Strong"/>
                <w:rFonts w:asciiTheme="minorHAnsi" w:hAnsiTheme="minorHAnsi" w:cstheme="minorHAnsi"/>
                <w:sz w:val="22"/>
                <w:szCs w:val="22"/>
              </w:rPr>
              <w:t>proactive strategies</w:t>
            </w:r>
            <w:r w:rsidRPr="00BE7603">
              <w:rPr>
                <w:rFonts w:asciiTheme="minorHAnsi" w:hAnsiTheme="minorHAnsi" w:cstheme="minorHAnsi"/>
                <w:sz w:val="22"/>
                <w:szCs w:val="22"/>
              </w:rPr>
              <w:t xml:space="preserve"> (preventing misbehaviour) with </w:t>
            </w:r>
            <w:r w:rsidRPr="00BE7603">
              <w:rPr>
                <w:rStyle w:val="Strong"/>
                <w:rFonts w:asciiTheme="minorHAnsi" w:hAnsiTheme="minorHAnsi" w:cstheme="minorHAnsi"/>
                <w:sz w:val="22"/>
                <w:szCs w:val="22"/>
              </w:rPr>
              <w:t>reactive strategies</w:t>
            </w:r>
            <w:r w:rsidRPr="00BE7603">
              <w:rPr>
                <w:rFonts w:asciiTheme="minorHAnsi" w:hAnsiTheme="minorHAnsi" w:cstheme="minorHAnsi"/>
                <w:sz w:val="22"/>
                <w:szCs w:val="22"/>
              </w:rPr>
              <w:t xml:space="preserve"> (supporting pupils with chronic issues)</w:t>
            </w:r>
          </w:p>
          <w:p w14:paraId="5FC5B176" w14:textId="77777777" w:rsidR="008E673A" w:rsidRPr="00BE7603" w:rsidRDefault="008E673A" w:rsidP="00AF4EDF">
            <w:pPr>
              <w:pStyle w:val="TableRowCentered"/>
              <w:ind w:left="0" w:right="0"/>
              <w:jc w:val="left"/>
              <w:rPr>
                <w:rFonts w:asciiTheme="minorHAnsi" w:hAnsiTheme="minorHAnsi" w:cstheme="minorHAnsi"/>
                <w:sz w:val="22"/>
                <w:szCs w:val="22"/>
                <w:lang w:val="en"/>
              </w:rPr>
            </w:pPr>
          </w:p>
          <w:p w14:paraId="3346BC3B" w14:textId="07BF8CB9" w:rsidR="008E673A" w:rsidRPr="00BE7603" w:rsidRDefault="008E673A" w:rsidP="00AF4EDF">
            <w:pPr>
              <w:pStyle w:val="TableRowCentered"/>
              <w:ind w:left="0" w:right="0"/>
              <w:jc w:val="left"/>
              <w:rPr>
                <w:rFonts w:asciiTheme="minorHAnsi" w:hAnsiTheme="minorHAnsi" w:cstheme="minorHAnsi"/>
                <w:sz w:val="22"/>
                <w:szCs w:val="22"/>
                <w:lang w:val="en"/>
              </w:rPr>
            </w:pPr>
            <w:hyperlink r:id="rId28" w:history="1">
              <w:r w:rsidRPr="00BE7603">
                <w:rPr>
                  <w:rFonts w:asciiTheme="minorHAnsi" w:hAnsiTheme="minorHAnsi" w:cstheme="minorHAnsi"/>
                  <w:color w:val="0000FF"/>
                  <w:sz w:val="22"/>
                  <w:szCs w:val="22"/>
                  <w:u w:val="single"/>
                </w:rPr>
                <w:t>Saffron Teaching School Hub - Building Positive Behaviour with the EEF's 'Establish, Maintain, Restore' Framework</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FEDD7" w14:textId="1D09E5D6" w:rsidR="00171B65" w:rsidRPr="00A56151" w:rsidRDefault="00492376" w:rsidP="00AF4ED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t>4,5,6</w:t>
            </w:r>
          </w:p>
        </w:tc>
      </w:tr>
      <w:tr w:rsidR="00AF4EDF" w:rsidRPr="00A56151" w14:paraId="6DCE110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42F21" w14:textId="5FCCCA6B" w:rsidR="00AF4EDF" w:rsidRPr="00BE7603" w:rsidRDefault="00ED6E5E" w:rsidP="00AF4EDF">
            <w:pPr>
              <w:rPr>
                <w:rFonts w:asciiTheme="minorHAnsi" w:hAnsiTheme="minorHAnsi" w:cstheme="minorHAnsi"/>
                <w:bCs/>
                <w:sz w:val="22"/>
                <w:szCs w:val="22"/>
              </w:rPr>
            </w:pPr>
            <w:r w:rsidRPr="00BE7603">
              <w:rPr>
                <w:rFonts w:asciiTheme="minorHAnsi" w:hAnsiTheme="minorHAnsi" w:cstheme="minorHAnsi"/>
                <w:sz w:val="22"/>
                <w:szCs w:val="22"/>
              </w:rPr>
              <w:t xml:space="preserve">To strengthen parental engagement and ensure clear, consistent communication between home and school by embedding robust systems for parents’ evenings, structured daily contact, and timely updates—facilitating regular dialogue around pupils’ academic </w:t>
            </w:r>
            <w:r w:rsidRPr="00BE7603">
              <w:rPr>
                <w:rFonts w:asciiTheme="minorHAnsi" w:hAnsiTheme="minorHAnsi" w:cstheme="minorHAnsi"/>
                <w:sz w:val="22"/>
                <w:szCs w:val="22"/>
              </w:rPr>
              <w:lastRenderedPageBreak/>
              <w:t>progress and pastoral wellbeing.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65E53" w14:textId="47A19588" w:rsidR="00956B42" w:rsidRPr="00BE7603" w:rsidRDefault="00956B42" w:rsidP="00956B42">
            <w:pPr>
              <w:suppressAutoHyphens w:val="0"/>
              <w:autoSpaceDN/>
              <w:spacing w:before="100" w:beforeAutospacing="1" w:after="100" w:afterAutospacing="1" w:line="240" w:lineRule="auto"/>
              <w:rPr>
                <w:rFonts w:asciiTheme="minorHAnsi" w:hAnsiTheme="minorHAnsi" w:cstheme="minorHAnsi"/>
                <w:sz w:val="22"/>
                <w:szCs w:val="22"/>
                <w:lang w:val="en"/>
              </w:rPr>
            </w:pPr>
            <w:r w:rsidRPr="00BE7603">
              <w:rPr>
                <w:rFonts w:asciiTheme="minorHAnsi" w:hAnsiTheme="minorHAnsi" w:cstheme="minorHAnsi"/>
                <w:sz w:val="22"/>
                <w:szCs w:val="22"/>
              </w:rPr>
              <w:lastRenderedPageBreak/>
              <w:t xml:space="preserve">Parental engagement can lead to an average of </w:t>
            </w:r>
            <w:r w:rsidRPr="00BE7603">
              <w:rPr>
                <w:rStyle w:val="Emphasis"/>
                <w:rFonts w:asciiTheme="minorHAnsi" w:hAnsiTheme="minorHAnsi" w:cstheme="minorHAnsi"/>
                <w:sz w:val="22"/>
                <w:szCs w:val="22"/>
              </w:rPr>
              <w:t>four months’ additional progress</w:t>
            </w:r>
            <w:r w:rsidRPr="00BE7603">
              <w:rPr>
                <w:rFonts w:asciiTheme="minorHAnsi" w:hAnsiTheme="minorHAnsi" w:cstheme="minorHAnsi"/>
                <w:sz w:val="22"/>
                <w:szCs w:val="22"/>
              </w:rPr>
              <w:t xml:space="preserve"> over a year, particularly when communication is tailored and linked to learning.</w:t>
            </w:r>
          </w:p>
          <w:p w14:paraId="3AC67D8A" w14:textId="77777777" w:rsidR="00956B42" w:rsidRPr="00BE7603" w:rsidRDefault="00956B42" w:rsidP="00BC06A5">
            <w:pPr>
              <w:numPr>
                <w:ilvl w:val="0"/>
                <w:numId w:val="1"/>
              </w:numPr>
              <w:suppressAutoHyphens w:val="0"/>
              <w:autoSpaceDN/>
              <w:spacing w:before="100" w:beforeAutospacing="1" w:after="100" w:afterAutospacing="1" w:line="240" w:lineRule="auto"/>
              <w:rPr>
                <w:rFonts w:asciiTheme="minorHAnsi" w:hAnsiTheme="minorHAnsi" w:cstheme="minorHAnsi"/>
                <w:sz w:val="22"/>
                <w:szCs w:val="22"/>
                <w:lang w:val="en"/>
              </w:rPr>
            </w:pPr>
          </w:p>
          <w:p w14:paraId="6FC72793" w14:textId="77777777" w:rsidR="00AF4EDF" w:rsidRPr="00BE7603" w:rsidRDefault="00956B42" w:rsidP="00BC06A5">
            <w:pPr>
              <w:numPr>
                <w:ilvl w:val="0"/>
                <w:numId w:val="1"/>
              </w:numPr>
              <w:suppressAutoHyphens w:val="0"/>
              <w:autoSpaceDN/>
              <w:spacing w:before="100" w:beforeAutospacing="1" w:after="100" w:afterAutospacing="1" w:line="240" w:lineRule="auto"/>
              <w:rPr>
                <w:rFonts w:asciiTheme="minorHAnsi" w:hAnsiTheme="minorHAnsi" w:cstheme="minorHAnsi"/>
                <w:sz w:val="22"/>
                <w:szCs w:val="22"/>
                <w:lang w:val="en"/>
              </w:rPr>
            </w:pPr>
            <w:hyperlink r:id="rId29" w:history="1">
              <w:r w:rsidRPr="00BE7603">
                <w:rPr>
                  <w:rFonts w:asciiTheme="minorHAnsi" w:hAnsiTheme="minorHAnsi" w:cstheme="minorHAnsi"/>
                  <w:color w:val="0000FF"/>
                  <w:sz w:val="22"/>
                  <w:szCs w:val="22"/>
                  <w:u w:val="single"/>
                </w:rPr>
                <w:t>Parental engagement | EEF</w:t>
              </w:r>
            </w:hyperlink>
          </w:p>
          <w:p w14:paraId="0D443D5C" w14:textId="77777777" w:rsidR="00BC32BA" w:rsidRPr="00BE7603" w:rsidRDefault="00BC32BA" w:rsidP="00BC32BA">
            <w:pPr>
              <w:suppressAutoHyphens w:val="0"/>
              <w:autoSpaceDN/>
              <w:spacing w:before="100" w:beforeAutospacing="1" w:after="100" w:afterAutospacing="1" w:line="240" w:lineRule="auto"/>
              <w:rPr>
                <w:rFonts w:asciiTheme="minorHAnsi" w:hAnsiTheme="minorHAnsi" w:cstheme="minorHAnsi"/>
                <w:sz w:val="22"/>
                <w:szCs w:val="22"/>
              </w:rPr>
            </w:pPr>
            <w:r w:rsidRPr="00BE7603">
              <w:rPr>
                <w:rFonts w:asciiTheme="minorHAnsi" w:hAnsiTheme="minorHAnsi" w:cstheme="minorHAnsi"/>
                <w:sz w:val="22"/>
                <w:szCs w:val="22"/>
              </w:rPr>
              <w:t>Effective two-way communication and whole-school commitment are essential for building trust and improving outcomes.</w:t>
            </w:r>
          </w:p>
          <w:p w14:paraId="5760C919" w14:textId="73D002D8" w:rsidR="00BC32BA" w:rsidRPr="00BE7603" w:rsidRDefault="00BC32BA" w:rsidP="00BC32BA">
            <w:pPr>
              <w:suppressAutoHyphens w:val="0"/>
              <w:autoSpaceDN/>
              <w:spacing w:before="100" w:beforeAutospacing="1" w:after="100" w:afterAutospacing="1" w:line="240" w:lineRule="auto"/>
              <w:rPr>
                <w:rFonts w:asciiTheme="minorHAnsi" w:hAnsiTheme="minorHAnsi" w:cstheme="minorHAnsi"/>
                <w:sz w:val="22"/>
                <w:szCs w:val="22"/>
                <w:lang w:val="en"/>
              </w:rPr>
            </w:pPr>
            <w:hyperlink r:id="rId30" w:history="1">
              <w:r w:rsidRPr="00BE7603">
                <w:rPr>
                  <w:rFonts w:asciiTheme="minorHAnsi" w:hAnsiTheme="minorHAnsi" w:cstheme="minorHAnsi"/>
                  <w:color w:val="0000FF"/>
                  <w:sz w:val="22"/>
                  <w:szCs w:val="22"/>
                  <w:u w:val="single"/>
                </w:rPr>
                <w:t>Parentkind-ASCL-NAHT-guidance-Building-effective-home-school-partnerships.pdf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FA231" w14:textId="61290787" w:rsidR="00AF4EDF" w:rsidRPr="00A56151" w:rsidRDefault="00492376" w:rsidP="00AF4EDF">
            <w:pPr>
              <w:pStyle w:val="TableRowCentered"/>
              <w:ind w:left="0" w:right="0"/>
              <w:jc w:val="left"/>
              <w:rPr>
                <w:rFonts w:asciiTheme="minorHAnsi" w:hAnsiTheme="minorHAnsi" w:cstheme="minorHAnsi"/>
                <w:sz w:val="22"/>
                <w:szCs w:val="22"/>
              </w:rPr>
            </w:pPr>
            <w:r w:rsidRPr="00A56151">
              <w:rPr>
                <w:rFonts w:asciiTheme="minorHAnsi" w:hAnsiTheme="minorHAnsi" w:cstheme="minorHAnsi"/>
                <w:sz w:val="22"/>
                <w:szCs w:val="22"/>
              </w:rPr>
              <w:t>4,5,6</w:t>
            </w:r>
          </w:p>
        </w:tc>
      </w:tr>
    </w:tbl>
    <w:p w14:paraId="2A7D5540" w14:textId="77777777" w:rsidR="00E66558" w:rsidRPr="00A56151" w:rsidRDefault="00E66558">
      <w:pPr>
        <w:spacing w:before="240" w:after="0"/>
        <w:rPr>
          <w:b/>
          <w:bCs/>
          <w:color w:val="104F75"/>
          <w:sz w:val="28"/>
          <w:szCs w:val="28"/>
        </w:rPr>
      </w:pPr>
    </w:p>
    <w:p w14:paraId="2A7D5541" w14:textId="24A7688E" w:rsidR="00E66558" w:rsidRPr="00A56151" w:rsidRDefault="009D71E8" w:rsidP="09F4AA1C">
      <w:pPr>
        <w:rPr>
          <w:i/>
          <w:iCs/>
          <w:color w:val="104F75"/>
          <w:sz w:val="28"/>
          <w:szCs w:val="28"/>
        </w:rPr>
      </w:pPr>
      <w:r w:rsidRPr="09F4AA1C">
        <w:rPr>
          <w:b/>
          <w:bCs/>
          <w:color w:val="104F75"/>
          <w:sz w:val="28"/>
          <w:szCs w:val="28"/>
        </w:rPr>
        <w:t xml:space="preserve">Total budgeted cost: £ </w:t>
      </w:r>
      <w:r w:rsidR="002D4FF1" w:rsidRPr="09F4AA1C">
        <w:rPr>
          <w:i/>
          <w:iCs/>
          <w:color w:val="104F75"/>
          <w:sz w:val="28"/>
          <w:szCs w:val="28"/>
        </w:rPr>
        <w:t>£5</w:t>
      </w:r>
      <w:r w:rsidR="39DF779B" w:rsidRPr="09F4AA1C">
        <w:rPr>
          <w:i/>
          <w:iCs/>
          <w:color w:val="104F75"/>
          <w:sz w:val="28"/>
          <w:szCs w:val="28"/>
        </w:rPr>
        <w:t>33,200</w:t>
      </w:r>
    </w:p>
    <w:p w14:paraId="2A7D5542" w14:textId="18352EC3" w:rsidR="00E66558" w:rsidRPr="00A56151" w:rsidRDefault="009D71E8" w:rsidP="00064366">
      <w:pPr>
        <w:pStyle w:val="Heading1"/>
      </w:pPr>
      <w:r w:rsidRPr="00A56151">
        <w:lastRenderedPageBreak/>
        <w:t>Part B: Review of the previous academic year</w:t>
      </w:r>
    </w:p>
    <w:p w14:paraId="751285B7" w14:textId="72ACB452" w:rsidR="008B6404" w:rsidRPr="00A56151" w:rsidRDefault="00064366" w:rsidP="00173D4C">
      <w:pPr>
        <w:pStyle w:val="Heading2"/>
      </w:pPr>
      <w:r w:rsidRPr="00A56151">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6418C" w14:textId="62C9C2CB" w:rsidR="005E1E9F" w:rsidRPr="00A56151" w:rsidRDefault="005E1E9F" w:rsidP="009F655F">
            <w:pPr>
              <w:rPr>
                <w:rFonts w:asciiTheme="minorHAnsi" w:hAnsiTheme="minorHAnsi" w:cstheme="minorHAnsi"/>
                <w:sz w:val="22"/>
                <w:szCs w:val="22"/>
              </w:rPr>
            </w:pPr>
            <w:r w:rsidRPr="00A56151">
              <w:rPr>
                <w:rFonts w:asciiTheme="minorHAnsi" w:hAnsiTheme="minorHAnsi" w:cstheme="minorHAnsi"/>
                <w:sz w:val="22"/>
                <w:szCs w:val="22"/>
              </w:rPr>
              <w:t xml:space="preserve">At Smithills School, disadvantaged pupils continue to make progress and benefit from the strong systems of support in place, even though gaps remain when compared with their peers and national averages. Attainment 8 for disadvantaged pupils stands at 31, which, while below non-disadvantaged pupils, reflects a foundation on which targeted interventions can build. In English, over 30% of disadvantaged pupils achieved a strong pass (9–5), showing clear strengths in literacy that can be leveraged to support wider outcomes. Although Maths attainment is lower, this highlights a clear priority area for focused support and intervention, and the school is already addressing this through curriculum refinement and pastoral strategies. Encouragingly, one third of disadvantaged pupils achieved a standard pass (9–4) in both English and Maths, demonstrating resilience and potential for further improvement. EBacc entry and achievement rates, while lower than peers, show that disadvantaged pupils are accessing a broad curriculum, and with sustained support, these figures can rise. </w:t>
            </w:r>
          </w:p>
          <w:p w14:paraId="4FB1D88A" w14:textId="15EF0958" w:rsidR="009F655F" w:rsidRPr="00A56151" w:rsidRDefault="009F655F" w:rsidP="009F655F">
            <w:pPr>
              <w:rPr>
                <w:rFonts w:asciiTheme="minorHAnsi" w:hAnsiTheme="minorHAnsi" w:cstheme="minorHAnsi"/>
                <w:sz w:val="22"/>
                <w:szCs w:val="22"/>
              </w:rPr>
            </w:pPr>
            <w:r w:rsidRPr="00A56151">
              <w:rPr>
                <w:rFonts w:asciiTheme="minorHAnsi" w:hAnsiTheme="minorHAnsi" w:cstheme="minorHAnsi"/>
                <w:sz w:val="22"/>
                <w:szCs w:val="22"/>
              </w:rPr>
              <w:t>Whole-school reading data shows a strong overall profile, with disadvantaged pupils (DP) performing broadly in line with their peers, and differences across bands remaining small (typically 1–2 percentage points). 28% of our DP cohort are in the Red band, which is closely aligned with the national figure of 25% of disadvantaged pupils leaving primary school below the expected standard in reading (EEF). Removing INA pupils from this brings the DP figure to 24% of pupils in Red Band,</w:t>
            </w:r>
            <w:r w:rsidRPr="00A56151">
              <w:rPr>
                <w:rFonts w:asciiTheme="minorHAnsi" w:hAnsiTheme="minorHAnsi" w:cstheme="minorHAnsi"/>
                <w:b/>
                <w:bCs/>
                <w:sz w:val="22"/>
                <w:szCs w:val="22"/>
              </w:rPr>
              <w:t xml:space="preserve"> below national average.</w:t>
            </w:r>
            <w:r w:rsidRPr="00A56151">
              <w:rPr>
                <w:rFonts w:asciiTheme="minorHAnsi" w:hAnsiTheme="minorHAnsi" w:cstheme="minorHAnsi"/>
                <w:sz w:val="22"/>
                <w:szCs w:val="22"/>
              </w:rPr>
              <w:t xml:space="preserve"> Among disadvantaged pupils who speak English as their first language, 44 are currently in the Red reading band. This group is evenly split by gender, with 22 girls and 22 boys, indicating no gender disparity in low reading attainment within this cohort.</w:t>
            </w:r>
          </w:p>
          <w:p w14:paraId="74CD025E" w14:textId="77777777" w:rsidR="009F655F" w:rsidRPr="00A56151" w:rsidRDefault="009F655F" w:rsidP="009F655F">
            <w:pPr>
              <w:rPr>
                <w:rFonts w:asciiTheme="minorHAnsi" w:hAnsiTheme="minorHAnsi" w:cstheme="minorHAnsi"/>
                <w:sz w:val="22"/>
                <w:szCs w:val="22"/>
              </w:rPr>
            </w:pPr>
            <w:r w:rsidRPr="00A56151">
              <w:rPr>
                <w:rFonts w:asciiTheme="minorHAnsi" w:hAnsiTheme="minorHAnsi" w:cstheme="minorHAnsi"/>
                <w:sz w:val="22"/>
                <w:szCs w:val="22"/>
              </w:rPr>
              <w:t>The distribution across Amber, Green, and Purple bands further indicates that many DP pupils are already working at, or close to, age-appropriate reading levels, showing strong potential to progress.</w:t>
            </w:r>
          </w:p>
          <w:p w14:paraId="1434FBF0" w14:textId="5CE234F4" w:rsidR="009F655F" w:rsidRPr="00A56151" w:rsidRDefault="009F655F" w:rsidP="00923569">
            <w:pPr>
              <w:rPr>
                <w:rFonts w:asciiTheme="minorHAnsi" w:hAnsiTheme="minorHAnsi" w:cstheme="minorHAnsi"/>
                <w:b/>
                <w:bCs/>
                <w:sz w:val="22"/>
                <w:szCs w:val="22"/>
              </w:rPr>
            </w:pPr>
            <w:r w:rsidRPr="00A56151">
              <w:rPr>
                <w:rFonts w:asciiTheme="minorHAnsi" w:hAnsiTheme="minorHAnsi" w:cstheme="minorHAnsi"/>
                <w:sz w:val="22"/>
                <w:szCs w:val="22"/>
              </w:rPr>
              <w:t>Alongside this, last year’s literacy interventions supported 125 pupils, with an overall graduation rate of 28%. Classroom teacher intervention showed most progress</w:t>
            </w:r>
            <w:r w:rsidR="00082566" w:rsidRPr="00A56151">
              <w:rPr>
                <w:rFonts w:asciiTheme="minorHAnsi" w:hAnsiTheme="minorHAnsi" w:cstheme="minorHAnsi"/>
                <w:sz w:val="22"/>
                <w:szCs w:val="22"/>
              </w:rPr>
              <w:t>.</w:t>
            </w:r>
          </w:p>
          <w:p w14:paraId="4AEF8326" w14:textId="451E59CD" w:rsidR="00923569" w:rsidRPr="00A56151" w:rsidRDefault="00923569" w:rsidP="00923569">
            <w:pPr>
              <w:rPr>
                <w:rFonts w:asciiTheme="minorHAnsi" w:hAnsiTheme="minorHAnsi" w:cstheme="minorHAnsi"/>
                <w:color w:val="000000"/>
                <w:sz w:val="22"/>
                <w:szCs w:val="22"/>
              </w:rPr>
            </w:pPr>
            <w:r w:rsidRPr="00A56151">
              <w:rPr>
                <w:rFonts w:asciiTheme="minorHAnsi" w:hAnsiTheme="minorHAnsi" w:cstheme="minorHAnsi"/>
                <w:color w:val="000000"/>
                <w:sz w:val="22"/>
                <w:szCs w:val="22"/>
              </w:rPr>
              <w:t>Over the last academic year, the attendance policy has had a clear and positive impact on disadvantaged pupils, with overall attendance consistently above FFT National averages. The school’s figures show strong gains, particularly in the most recent periods where attendance was +5.0% and +2.8% higher than national benchmarks — a clear indicator of significant improvement. These results highlight the success of the school’s targeted strategies in promoting better engagement and reducing absence among disadvantaged pupils, demonstrating that the attendance policy is delivering sustained and meaningful progress.</w:t>
            </w:r>
          </w:p>
          <w:p w14:paraId="6187317A" w14:textId="77777777" w:rsidR="00923569" w:rsidRPr="00A56151" w:rsidRDefault="00923569" w:rsidP="00923569">
            <w:pPr>
              <w:rPr>
                <w:rFonts w:asciiTheme="minorHAnsi" w:hAnsiTheme="minorHAnsi" w:cstheme="minorHAnsi"/>
                <w:color w:val="000000"/>
                <w:sz w:val="22"/>
                <w:szCs w:val="22"/>
              </w:rPr>
            </w:pPr>
            <w:r w:rsidRPr="00A56151">
              <w:rPr>
                <w:rFonts w:asciiTheme="minorHAnsi" w:hAnsiTheme="minorHAnsi" w:cstheme="minorHAnsi"/>
                <w:color w:val="000000"/>
                <w:sz w:val="22"/>
                <w:szCs w:val="22"/>
              </w:rPr>
              <w:t>The school continues to show positive progress into the 2025/2026 academic year, with the attendance of disadvantaged pupils currently +2% overall compared to national averages. Encouragingly, current Year 11 attendance for disadvantaged pupils is 6.8% above FFT National averages, showing that targeted support and clear, consistent messages are ensuring that pupils in their GCSE year are highly engaged, motivated to attend regularly, and well placed to achieve strong outcomes.</w:t>
            </w:r>
          </w:p>
          <w:p w14:paraId="5023926C" w14:textId="421475EB" w:rsidR="0064167B" w:rsidRPr="002F4C6F" w:rsidRDefault="0064167B" w:rsidP="00242093">
            <w:pPr>
              <w:spacing w:before="60"/>
              <w:rPr>
                <w:i/>
                <w:iCs/>
                <w:lang w:eastAsia="en-US"/>
              </w:rPr>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bookmarkEnd w:id="14"/>
    <w:bookmarkEnd w:id="15"/>
    <w:bookmarkEnd w:id="16"/>
    <w:p w14:paraId="01F0D165" w14:textId="1FC4C866" w:rsidR="0008384B" w:rsidRDefault="0008384B" w:rsidP="0008384B"/>
    <w:sectPr w:rsidR="0008384B">
      <w:footerReference w:type="default" r:id="rId3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C7CC" w14:textId="77777777" w:rsidR="00FB35D7" w:rsidRDefault="00FB35D7">
      <w:pPr>
        <w:spacing w:after="0" w:line="240" w:lineRule="auto"/>
      </w:pPr>
      <w:r>
        <w:separator/>
      </w:r>
    </w:p>
  </w:endnote>
  <w:endnote w:type="continuationSeparator" w:id="0">
    <w:p w14:paraId="3F8AD348" w14:textId="77777777" w:rsidR="00FB35D7" w:rsidRDefault="00FB35D7">
      <w:pPr>
        <w:spacing w:after="0" w:line="240" w:lineRule="auto"/>
      </w:pPr>
      <w:r>
        <w:continuationSeparator/>
      </w:r>
    </w:p>
  </w:endnote>
  <w:endnote w:type="continuationNotice" w:id="1">
    <w:p w14:paraId="430152F9" w14:textId="77777777" w:rsidR="00FB35D7" w:rsidRDefault="00FB3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72DF" w14:textId="77777777" w:rsidR="00FB35D7" w:rsidRDefault="00FB35D7">
      <w:pPr>
        <w:spacing w:after="0" w:line="240" w:lineRule="auto"/>
      </w:pPr>
      <w:r>
        <w:separator/>
      </w:r>
    </w:p>
  </w:footnote>
  <w:footnote w:type="continuationSeparator" w:id="0">
    <w:p w14:paraId="19BB398A" w14:textId="77777777" w:rsidR="00FB35D7" w:rsidRDefault="00FB35D7">
      <w:pPr>
        <w:spacing w:after="0" w:line="240" w:lineRule="auto"/>
      </w:pPr>
      <w:r>
        <w:continuationSeparator/>
      </w:r>
    </w:p>
  </w:footnote>
  <w:footnote w:type="continuationNotice" w:id="1">
    <w:p w14:paraId="5F5D493B" w14:textId="77777777" w:rsidR="00FB35D7" w:rsidRDefault="00FB35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542E"/>
    <w:multiLevelType w:val="multilevel"/>
    <w:tmpl w:val="4644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4162B20"/>
    <w:multiLevelType w:val="multilevel"/>
    <w:tmpl w:val="634E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0D0963"/>
    <w:multiLevelType w:val="multilevel"/>
    <w:tmpl w:val="8766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F2476"/>
    <w:multiLevelType w:val="multilevel"/>
    <w:tmpl w:val="068E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306F3"/>
    <w:multiLevelType w:val="multilevel"/>
    <w:tmpl w:val="9946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D4A73"/>
    <w:multiLevelType w:val="hybridMultilevel"/>
    <w:tmpl w:val="6EB2056E"/>
    <w:lvl w:ilvl="0" w:tplc="2CDC4924">
      <w:start w:val="1"/>
      <w:numFmt w:val="decimal"/>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920582"/>
    <w:multiLevelType w:val="multilevel"/>
    <w:tmpl w:val="08A0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D451E"/>
    <w:multiLevelType w:val="multilevel"/>
    <w:tmpl w:val="9224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F2A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F256ED"/>
    <w:multiLevelType w:val="multilevel"/>
    <w:tmpl w:val="378A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5F1974"/>
    <w:multiLevelType w:val="multilevel"/>
    <w:tmpl w:val="4E4C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5E11535"/>
    <w:multiLevelType w:val="multilevel"/>
    <w:tmpl w:val="76D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414E9"/>
    <w:multiLevelType w:val="multilevel"/>
    <w:tmpl w:val="C476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11259">
    <w:abstractNumId w:val="7"/>
  </w:num>
  <w:num w:numId="2" w16cid:durableId="1628730595">
    <w:abstractNumId w:val="4"/>
  </w:num>
  <w:num w:numId="3" w16cid:durableId="497188144">
    <w:abstractNumId w:val="8"/>
  </w:num>
  <w:num w:numId="4" w16cid:durableId="1138914232">
    <w:abstractNumId w:val="10"/>
  </w:num>
  <w:num w:numId="5" w16cid:durableId="857932188">
    <w:abstractNumId w:val="1"/>
  </w:num>
  <w:num w:numId="6" w16cid:durableId="798501009">
    <w:abstractNumId w:val="11"/>
  </w:num>
  <w:num w:numId="7" w16cid:durableId="1210847263">
    <w:abstractNumId w:val="22"/>
  </w:num>
  <w:num w:numId="8" w16cid:durableId="982348153">
    <w:abstractNumId w:val="27"/>
  </w:num>
  <w:num w:numId="9" w16cid:durableId="1529290868">
    <w:abstractNumId w:val="24"/>
  </w:num>
  <w:num w:numId="10" w16cid:durableId="1171066271">
    <w:abstractNumId w:val="23"/>
  </w:num>
  <w:num w:numId="11" w16cid:durableId="1453552857">
    <w:abstractNumId w:val="5"/>
  </w:num>
  <w:num w:numId="12" w16cid:durableId="1812097430">
    <w:abstractNumId w:val="25"/>
  </w:num>
  <w:num w:numId="13" w16cid:durableId="42288650">
    <w:abstractNumId w:val="21"/>
  </w:num>
  <w:num w:numId="14" w16cid:durableId="1721712531">
    <w:abstractNumId w:val="12"/>
  </w:num>
  <w:num w:numId="15" w16cid:durableId="1235432793">
    <w:abstractNumId w:val="3"/>
  </w:num>
  <w:num w:numId="16" w16cid:durableId="884678859">
    <w:abstractNumId w:val="2"/>
  </w:num>
  <w:num w:numId="17" w16cid:durableId="826165421">
    <w:abstractNumId w:val="14"/>
  </w:num>
  <w:num w:numId="18" w16cid:durableId="1960410616">
    <w:abstractNumId w:val="28"/>
  </w:num>
  <w:num w:numId="19" w16cid:durableId="605037518">
    <w:abstractNumId w:val="18"/>
  </w:num>
  <w:num w:numId="20" w16cid:durableId="1419256809">
    <w:abstractNumId w:val="19"/>
  </w:num>
  <w:num w:numId="21" w16cid:durableId="1181354528">
    <w:abstractNumId w:val="26"/>
  </w:num>
  <w:num w:numId="22" w16cid:durableId="1792279632">
    <w:abstractNumId w:val="13"/>
  </w:num>
  <w:num w:numId="23" w16cid:durableId="137115729">
    <w:abstractNumId w:val="17"/>
  </w:num>
  <w:num w:numId="24" w16cid:durableId="2097630580">
    <w:abstractNumId w:val="16"/>
  </w:num>
  <w:num w:numId="25" w16cid:durableId="1818650271">
    <w:abstractNumId w:val="6"/>
  </w:num>
  <w:num w:numId="26" w16cid:durableId="1256017460">
    <w:abstractNumId w:val="29"/>
  </w:num>
  <w:num w:numId="27" w16cid:durableId="47189598">
    <w:abstractNumId w:val="15"/>
  </w:num>
  <w:num w:numId="28" w16cid:durableId="1122533209">
    <w:abstractNumId w:val="20"/>
  </w:num>
  <w:num w:numId="29" w16cid:durableId="566385095">
    <w:abstractNumId w:val="0"/>
  </w:num>
  <w:num w:numId="30" w16cid:durableId="610478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048E"/>
    <w:rsid w:val="000113DB"/>
    <w:rsid w:val="00022B1B"/>
    <w:rsid w:val="00023729"/>
    <w:rsid w:val="000243B4"/>
    <w:rsid w:val="0002530E"/>
    <w:rsid w:val="0002710D"/>
    <w:rsid w:val="00031EA0"/>
    <w:rsid w:val="00036678"/>
    <w:rsid w:val="000452EB"/>
    <w:rsid w:val="00045603"/>
    <w:rsid w:val="000463AE"/>
    <w:rsid w:val="00047E12"/>
    <w:rsid w:val="000507A3"/>
    <w:rsid w:val="000602B2"/>
    <w:rsid w:val="00060A62"/>
    <w:rsid w:val="00064366"/>
    <w:rsid w:val="00066B73"/>
    <w:rsid w:val="00071481"/>
    <w:rsid w:val="00071D77"/>
    <w:rsid w:val="00075FAE"/>
    <w:rsid w:val="00082566"/>
    <w:rsid w:val="00082F38"/>
    <w:rsid w:val="000837DB"/>
    <w:rsid w:val="0008384B"/>
    <w:rsid w:val="00085C40"/>
    <w:rsid w:val="000929EC"/>
    <w:rsid w:val="00093CDE"/>
    <w:rsid w:val="000A1D5E"/>
    <w:rsid w:val="000A5C58"/>
    <w:rsid w:val="000A6379"/>
    <w:rsid w:val="000B0D49"/>
    <w:rsid w:val="000B203E"/>
    <w:rsid w:val="000D0B18"/>
    <w:rsid w:val="000D22B0"/>
    <w:rsid w:val="000D318D"/>
    <w:rsid w:val="000D35C9"/>
    <w:rsid w:val="000D520C"/>
    <w:rsid w:val="000D6596"/>
    <w:rsid w:val="000D6779"/>
    <w:rsid w:val="000E6DF0"/>
    <w:rsid w:val="00102047"/>
    <w:rsid w:val="001037CB"/>
    <w:rsid w:val="0010629E"/>
    <w:rsid w:val="0011207E"/>
    <w:rsid w:val="0011311F"/>
    <w:rsid w:val="00114288"/>
    <w:rsid w:val="00115538"/>
    <w:rsid w:val="00116FA8"/>
    <w:rsid w:val="00120AB1"/>
    <w:rsid w:val="00123A7F"/>
    <w:rsid w:val="00125E0F"/>
    <w:rsid w:val="001278D0"/>
    <w:rsid w:val="00127F72"/>
    <w:rsid w:val="00135BE7"/>
    <w:rsid w:val="001379AF"/>
    <w:rsid w:val="00140646"/>
    <w:rsid w:val="0014409B"/>
    <w:rsid w:val="00147A4B"/>
    <w:rsid w:val="00152554"/>
    <w:rsid w:val="00155944"/>
    <w:rsid w:val="001559D7"/>
    <w:rsid w:val="00155DE0"/>
    <w:rsid w:val="00157B08"/>
    <w:rsid w:val="0016523C"/>
    <w:rsid w:val="001671ED"/>
    <w:rsid w:val="00170714"/>
    <w:rsid w:val="00171B65"/>
    <w:rsid w:val="00171D79"/>
    <w:rsid w:val="0017264D"/>
    <w:rsid w:val="001727FA"/>
    <w:rsid w:val="00172B0F"/>
    <w:rsid w:val="00172B77"/>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06E3"/>
    <w:rsid w:val="001A2FE8"/>
    <w:rsid w:val="001A33AC"/>
    <w:rsid w:val="001A3E85"/>
    <w:rsid w:val="001B1C78"/>
    <w:rsid w:val="001C1C51"/>
    <w:rsid w:val="001D211A"/>
    <w:rsid w:val="001D4FC9"/>
    <w:rsid w:val="001E0ECA"/>
    <w:rsid w:val="001E206F"/>
    <w:rsid w:val="001E5750"/>
    <w:rsid w:val="001E66BA"/>
    <w:rsid w:val="001E7739"/>
    <w:rsid w:val="001F3DB4"/>
    <w:rsid w:val="001F7564"/>
    <w:rsid w:val="00203DB9"/>
    <w:rsid w:val="00204F40"/>
    <w:rsid w:val="00205745"/>
    <w:rsid w:val="00205DEF"/>
    <w:rsid w:val="002112C3"/>
    <w:rsid w:val="002131E5"/>
    <w:rsid w:val="00216C8A"/>
    <w:rsid w:val="00226317"/>
    <w:rsid w:val="00231539"/>
    <w:rsid w:val="00242093"/>
    <w:rsid w:val="00243F22"/>
    <w:rsid w:val="002523E3"/>
    <w:rsid w:val="00252AD6"/>
    <w:rsid w:val="002542CE"/>
    <w:rsid w:val="00254AF1"/>
    <w:rsid w:val="00257A4E"/>
    <w:rsid w:val="00266FA5"/>
    <w:rsid w:val="00276FBA"/>
    <w:rsid w:val="00277665"/>
    <w:rsid w:val="002837AE"/>
    <w:rsid w:val="00287FA8"/>
    <w:rsid w:val="002920F4"/>
    <w:rsid w:val="002940F3"/>
    <w:rsid w:val="00295842"/>
    <w:rsid w:val="002A05E3"/>
    <w:rsid w:val="002B3574"/>
    <w:rsid w:val="002B6B74"/>
    <w:rsid w:val="002C6794"/>
    <w:rsid w:val="002C6AE7"/>
    <w:rsid w:val="002D2D4B"/>
    <w:rsid w:val="002D3805"/>
    <w:rsid w:val="002D4FF1"/>
    <w:rsid w:val="002E66AE"/>
    <w:rsid w:val="002E7763"/>
    <w:rsid w:val="002F4C6F"/>
    <w:rsid w:val="002F5011"/>
    <w:rsid w:val="002F5842"/>
    <w:rsid w:val="002F7847"/>
    <w:rsid w:val="00306CB7"/>
    <w:rsid w:val="00307ABF"/>
    <w:rsid w:val="003111F5"/>
    <w:rsid w:val="003115D3"/>
    <w:rsid w:val="00315D23"/>
    <w:rsid w:val="00317664"/>
    <w:rsid w:val="00317C6B"/>
    <w:rsid w:val="00336200"/>
    <w:rsid w:val="00337418"/>
    <w:rsid w:val="00351AA2"/>
    <w:rsid w:val="00351D83"/>
    <w:rsid w:val="00352197"/>
    <w:rsid w:val="00352886"/>
    <w:rsid w:val="00353E46"/>
    <w:rsid w:val="00355D98"/>
    <w:rsid w:val="003576C4"/>
    <w:rsid w:val="0036277A"/>
    <w:rsid w:val="00366AB0"/>
    <w:rsid w:val="003700E8"/>
    <w:rsid w:val="003727AE"/>
    <w:rsid w:val="0037437C"/>
    <w:rsid w:val="00380CC5"/>
    <w:rsid w:val="00381127"/>
    <w:rsid w:val="0038146B"/>
    <w:rsid w:val="0038340F"/>
    <w:rsid w:val="00384457"/>
    <w:rsid w:val="00384F24"/>
    <w:rsid w:val="003A32B2"/>
    <w:rsid w:val="003A47DD"/>
    <w:rsid w:val="003A5F67"/>
    <w:rsid w:val="003A634F"/>
    <w:rsid w:val="003A70CB"/>
    <w:rsid w:val="003B14C1"/>
    <w:rsid w:val="003B2884"/>
    <w:rsid w:val="003B588A"/>
    <w:rsid w:val="003B621D"/>
    <w:rsid w:val="003B7A78"/>
    <w:rsid w:val="003C031F"/>
    <w:rsid w:val="003C4388"/>
    <w:rsid w:val="003C4C27"/>
    <w:rsid w:val="003C53A9"/>
    <w:rsid w:val="003C7F7B"/>
    <w:rsid w:val="003D0CD6"/>
    <w:rsid w:val="003D2EAA"/>
    <w:rsid w:val="003D448C"/>
    <w:rsid w:val="003E054C"/>
    <w:rsid w:val="003E1EC5"/>
    <w:rsid w:val="003E27A0"/>
    <w:rsid w:val="003E3872"/>
    <w:rsid w:val="003F7678"/>
    <w:rsid w:val="0040056A"/>
    <w:rsid w:val="004031CC"/>
    <w:rsid w:val="004044AA"/>
    <w:rsid w:val="004044C8"/>
    <w:rsid w:val="00404F3F"/>
    <w:rsid w:val="00410B5D"/>
    <w:rsid w:val="00413BEC"/>
    <w:rsid w:val="00415259"/>
    <w:rsid w:val="00417E46"/>
    <w:rsid w:val="0042265E"/>
    <w:rsid w:val="0042409D"/>
    <w:rsid w:val="00424ED7"/>
    <w:rsid w:val="00425258"/>
    <w:rsid w:val="00426217"/>
    <w:rsid w:val="00431A80"/>
    <w:rsid w:val="00433641"/>
    <w:rsid w:val="00435A89"/>
    <w:rsid w:val="00443A90"/>
    <w:rsid w:val="00452267"/>
    <w:rsid w:val="00452A6E"/>
    <w:rsid w:val="00453307"/>
    <w:rsid w:val="00454EE1"/>
    <w:rsid w:val="00455A02"/>
    <w:rsid w:val="00457E36"/>
    <w:rsid w:val="00460BD3"/>
    <w:rsid w:val="00462F8F"/>
    <w:rsid w:val="004708F2"/>
    <w:rsid w:val="004724DE"/>
    <w:rsid w:val="00472C4B"/>
    <w:rsid w:val="004770FE"/>
    <w:rsid w:val="0048157F"/>
    <w:rsid w:val="00481D56"/>
    <w:rsid w:val="00490408"/>
    <w:rsid w:val="00492376"/>
    <w:rsid w:val="004A0E0D"/>
    <w:rsid w:val="004A2727"/>
    <w:rsid w:val="004A4C45"/>
    <w:rsid w:val="004A55C4"/>
    <w:rsid w:val="004A6B88"/>
    <w:rsid w:val="004A7540"/>
    <w:rsid w:val="004B0485"/>
    <w:rsid w:val="004B0ED7"/>
    <w:rsid w:val="004B1F58"/>
    <w:rsid w:val="004B428E"/>
    <w:rsid w:val="004B4D0A"/>
    <w:rsid w:val="004B4D37"/>
    <w:rsid w:val="004C2FBF"/>
    <w:rsid w:val="004C3C61"/>
    <w:rsid w:val="004C42F0"/>
    <w:rsid w:val="004D2817"/>
    <w:rsid w:val="004D50C8"/>
    <w:rsid w:val="004D5238"/>
    <w:rsid w:val="004D6B72"/>
    <w:rsid w:val="004E1423"/>
    <w:rsid w:val="004E1D73"/>
    <w:rsid w:val="004E5450"/>
    <w:rsid w:val="004E57C3"/>
    <w:rsid w:val="004E72DD"/>
    <w:rsid w:val="004F078B"/>
    <w:rsid w:val="004F22CD"/>
    <w:rsid w:val="004F607E"/>
    <w:rsid w:val="004F741D"/>
    <w:rsid w:val="005025FB"/>
    <w:rsid w:val="00503462"/>
    <w:rsid w:val="0050447C"/>
    <w:rsid w:val="0051286E"/>
    <w:rsid w:val="00514F44"/>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509"/>
    <w:rsid w:val="005646FA"/>
    <w:rsid w:val="00564E40"/>
    <w:rsid w:val="005702D2"/>
    <w:rsid w:val="00573E1D"/>
    <w:rsid w:val="005750E2"/>
    <w:rsid w:val="0058313F"/>
    <w:rsid w:val="00585859"/>
    <w:rsid w:val="00586FBC"/>
    <w:rsid w:val="005879C9"/>
    <w:rsid w:val="00594CAD"/>
    <w:rsid w:val="005A19DE"/>
    <w:rsid w:val="005A1D0B"/>
    <w:rsid w:val="005A3C6B"/>
    <w:rsid w:val="005B1EA5"/>
    <w:rsid w:val="005C0BBD"/>
    <w:rsid w:val="005C54A0"/>
    <w:rsid w:val="005D0D15"/>
    <w:rsid w:val="005D7176"/>
    <w:rsid w:val="005E0BE5"/>
    <w:rsid w:val="005E18CB"/>
    <w:rsid w:val="005E1D66"/>
    <w:rsid w:val="005E1E9F"/>
    <w:rsid w:val="005E1F24"/>
    <w:rsid w:val="005E3667"/>
    <w:rsid w:val="005E73F1"/>
    <w:rsid w:val="005F07EF"/>
    <w:rsid w:val="005F16B6"/>
    <w:rsid w:val="005F20B3"/>
    <w:rsid w:val="005F2600"/>
    <w:rsid w:val="005F5224"/>
    <w:rsid w:val="005F7AA1"/>
    <w:rsid w:val="00600B2E"/>
    <w:rsid w:val="00601122"/>
    <w:rsid w:val="0060311B"/>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3B4B"/>
    <w:rsid w:val="00654E31"/>
    <w:rsid w:val="00656A8F"/>
    <w:rsid w:val="00657DB4"/>
    <w:rsid w:val="00661FDB"/>
    <w:rsid w:val="006652DD"/>
    <w:rsid w:val="006671BF"/>
    <w:rsid w:val="00670E34"/>
    <w:rsid w:val="00671AEB"/>
    <w:rsid w:val="00672A7D"/>
    <w:rsid w:val="00673454"/>
    <w:rsid w:val="00676069"/>
    <w:rsid w:val="00677995"/>
    <w:rsid w:val="00681416"/>
    <w:rsid w:val="00693831"/>
    <w:rsid w:val="006951D4"/>
    <w:rsid w:val="006A06F5"/>
    <w:rsid w:val="006A0ED2"/>
    <w:rsid w:val="006A1EDF"/>
    <w:rsid w:val="006A66A4"/>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14A3E"/>
    <w:rsid w:val="00721B51"/>
    <w:rsid w:val="00722B01"/>
    <w:rsid w:val="00722CB3"/>
    <w:rsid w:val="00724594"/>
    <w:rsid w:val="00724FA7"/>
    <w:rsid w:val="00725415"/>
    <w:rsid w:val="007262CC"/>
    <w:rsid w:val="00727505"/>
    <w:rsid w:val="00731581"/>
    <w:rsid w:val="0073481D"/>
    <w:rsid w:val="00734961"/>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36D0"/>
    <w:rsid w:val="00781713"/>
    <w:rsid w:val="00785285"/>
    <w:rsid w:val="0078529D"/>
    <w:rsid w:val="00785E77"/>
    <w:rsid w:val="0078720B"/>
    <w:rsid w:val="00787DC1"/>
    <w:rsid w:val="00792F06"/>
    <w:rsid w:val="00794070"/>
    <w:rsid w:val="007A63CA"/>
    <w:rsid w:val="007A713B"/>
    <w:rsid w:val="007A7DA0"/>
    <w:rsid w:val="007B1C4D"/>
    <w:rsid w:val="007B2E4E"/>
    <w:rsid w:val="007B5655"/>
    <w:rsid w:val="007B64E5"/>
    <w:rsid w:val="007C2F04"/>
    <w:rsid w:val="007D7D23"/>
    <w:rsid w:val="007F06E5"/>
    <w:rsid w:val="007F0867"/>
    <w:rsid w:val="007F40CE"/>
    <w:rsid w:val="007F5B8B"/>
    <w:rsid w:val="00805BC0"/>
    <w:rsid w:val="00814FB9"/>
    <w:rsid w:val="008177E3"/>
    <w:rsid w:val="00817E9A"/>
    <w:rsid w:val="00827786"/>
    <w:rsid w:val="00827BDA"/>
    <w:rsid w:val="00830D57"/>
    <w:rsid w:val="00831F00"/>
    <w:rsid w:val="0083439F"/>
    <w:rsid w:val="00835F44"/>
    <w:rsid w:val="00850CA0"/>
    <w:rsid w:val="00852A2F"/>
    <w:rsid w:val="008608EE"/>
    <w:rsid w:val="00860B07"/>
    <w:rsid w:val="008616F6"/>
    <w:rsid w:val="0086259C"/>
    <w:rsid w:val="008674ED"/>
    <w:rsid w:val="0087074C"/>
    <w:rsid w:val="00871A05"/>
    <w:rsid w:val="00874913"/>
    <w:rsid w:val="008833BF"/>
    <w:rsid w:val="00883936"/>
    <w:rsid w:val="00883F24"/>
    <w:rsid w:val="008868DF"/>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5C4A"/>
    <w:rsid w:val="008E673A"/>
    <w:rsid w:val="008E7FBC"/>
    <w:rsid w:val="008F243B"/>
    <w:rsid w:val="008F40B4"/>
    <w:rsid w:val="008F4675"/>
    <w:rsid w:val="008F50FE"/>
    <w:rsid w:val="008F69CD"/>
    <w:rsid w:val="008F6E88"/>
    <w:rsid w:val="00901E60"/>
    <w:rsid w:val="00904A66"/>
    <w:rsid w:val="00905029"/>
    <w:rsid w:val="009216B2"/>
    <w:rsid w:val="00921A3A"/>
    <w:rsid w:val="0092287F"/>
    <w:rsid w:val="00923569"/>
    <w:rsid w:val="0092495B"/>
    <w:rsid w:val="0092660E"/>
    <w:rsid w:val="00936519"/>
    <w:rsid w:val="009413AA"/>
    <w:rsid w:val="00941DA3"/>
    <w:rsid w:val="00942C0C"/>
    <w:rsid w:val="00942F81"/>
    <w:rsid w:val="00947BAD"/>
    <w:rsid w:val="0095077B"/>
    <w:rsid w:val="00951711"/>
    <w:rsid w:val="009539E3"/>
    <w:rsid w:val="00954083"/>
    <w:rsid w:val="00954A5E"/>
    <w:rsid w:val="009551B2"/>
    <w:rsid w:val="00956B42"/>
    <w:rsid w:val="0096022C"/>
    <w:rsid w:val="009619B1"/>
    <w:rsid w:val="00961AA2"/>
    <w:rsid w:val="00964625"/>
    <w:rsid w:val="00965B57"/>
    <w:rsid w:val="0097282A"/>
    <w:rsid w:val="009734A1"/>
    <w:rsid w:val="00980937"/>
    <w:rsid w:val="00981C1D"/>
    <w:rsid w:val="0099109C"/>
    <w:rsid w:val="009936DB"/>
    <w:rsid w:val="00993CFC"/>
    <w:rsid w:val="009A1DC2"/>
    <w:rsid w:val="009A5EEA"/>
    <w:rsid w:val="009B0906"/>
    <w:rsid w:val="009B38F2"/>
    <w:rsid w:val="009B7433"/>
    <w:rsid w:val="009C0914"/>
    <w:rsid w:val="009C27E5"/>
    <w:rsid w:val="009D24A1"/>
    <w:rsid w:val="009D334E"/>
    <w:rsid w:val="009D3891"/>
    <w:rsid w:val="009D71E8"/>
    <w:rsid w:val="009E0CF5"/>
    <w:rsid w:val="009E104B"/>
    <w:rsid w:val="009E7DE4"/>
    <w:rsid w:val="009F3BBD"/>
    <w:rsid w:val="009F655F"/>
    <w:rsid w:val="00A022AB"/>
    <w:rsid w:val="00A063DD"/>
    <w:rsid w:val="00A112B5"/>
    <w:rsid w:val="00A14EEA"/>
    <w:rsid w:val="00A1579C"/>
    <w:rsid w:val="00A33636"/>
    <w:rsid w:val="00A44FBB"/>
    <w:rsid w:val="00A50104"/>
    <w:rsid w:val="00A522E0"/>
    <w:rsid w:val="00A52823"/>
    <w:rsid w:val="00A56151"/>
    <w:rsid w:val="00A605E6"/>
    <w:rsid w:val="00A60E28"/>
    <w:rsid w:val="00A63579"/>
    <w:rsid w:val="00A638AC"/>
    <w:rsid w:val="00A64475"/>
    <w:rsid w:val="00A6745C"/>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A5228"/>
    <w:rsid w:val="00AA5404"/>
    <w:rsid w:val="00AA7BC6"/>
    <w:rsid w:val="00AB24FA"/>
    <w:rsid w:val="00AB4DD7"/>
    <w:rsid w:val="00AB5161"/>
    <w:rsid w:val="00AB6A76"/>
    <w:rsid w:val="00AD2A31"/>
    <w:rsid w:val="00AD7B5A"/>
    <w:rsid w:val="00AE229F"/>
    <w:rsid w:val="00AF0618"/>
    <w:rsid w:val="00AF11C8"/>
    <w:rsid w:val="00AF1D4F"/>
    <w:rsid w:val="00AF4EDF"/>
    <w:rsid w:val="00AF5E20"/>
    <w:rsid w:val="00B002FA"/>
    <w:rsid w:val="00B00327"/>
    <w:rsid w:val="00B024B3"/>
    <w:rsid w:val="00B11DE8"/>
    <w:rsid w:val="00B179ED"/>
    <w:rsid w:val="00B20E18"/>
    <w:rsid w:val="00B271E3"/>
    <w:rsid w:val="00B331E1"/>
    <w:rsid w:val="00B4532A"/>
    <w:rsid w:val="00B47C66"/>
    <w:rsid w:val="00B53410"/>
    <w:rsid w:val="00B572C4"/>
    <w:rsid w:val="00B60858"/>
    <w:rsid w:val="00B60D69"/>
    <w:rsid w:val="00B61F58"/>
    <w:rsid w:val="00B6234E"/>
    <w:rsid w:val="00B63A18"/>
    <w:rsid w:val="00B7479E"/>
    <w:rsid w:val="00B74D4E"/>
    <w:rsid w:val="00B80219"/>
    <w:rsid w:val="00B80A45"/>
    <w:rsid w:val="00B80FBE"/>
    <w:rsid w:val="00B8563B"/>
    <w:rsid w:val="00B87184"/>
    <w:rsid w:val="00B91453"/>
    <w:rsid w:val="00BA19A5"/>
    <w:rsid w:val="00BA227B"/>
    <w:rsid w:val="00BA353F"/>
    <w:rsid w:val="00BB2907"/>
    <w:rsid w:val="00BB4A6F"/>
    <w:rsid w:val="00BB6902"/>
    <w:rsid w:val="00BC06A5"/>
    <w:rsid w:val="00BC078B"/>
    <w:rsid w:val="00BC32BA"/>
    <w:rsid w:val="00BC3A7D"/>
    <w:rsid w:val="00BC67F6"/>
    <w:rsid w:val="00BD2004"/>
    <w:rsid w:val="00BD4B12"/>
    <w:rsid w:val="00BD700D"/>
    <w:rsid w:val="00BE2F92"/>
    <w:rsid w:val="00BE44AC"/>
    <w:rsid w:val="00BE7603"/>
    <w:rsid w:val="00BF0D5F"/>
    <w:rsid w:val="00BF30FC"/>
    <w:rsid w:val="00BF59B3"/>
    <w:rsid w:val="00BF6F95"/>
    <w:rsid w:val="00C10BCF"/>
    <w:rsid w:val="00C11EB4"/>
    <w:rsid w:val="00C12746"/>
    <w:rsid w:val="00C17401"/>
    <w:rsid w:val="00C21B23"/>
    <w:rsid w:val="00C23C11"/>
    <w:rsid w:val="00C2441E"/>
    <w:rsid w:val="00C25827"/>
    <w:rsid w:val="00C31636"/>
    <w:rsid w:val="00C31BB8"/>
    <w:rsid w:val="00C373EA"/>
    <w:rsid w:val="00C4203A"/>
    <w:rsid w:val="00C43CA3"/>
    <w:rsid w:val="00C43D9D"/>
    <w:rsid w:val="00C43EA4"/>
    <w:rsid w:val="00C50040"/>
    <w:rsid w:val="00C52DFF"/>
    <w:rsid w:val="00C574E1"/>
    <w:rsid w:val="00C621C1"/>
    <w:rsid w:val="00C62989"/>
    <w:rsid w:val="00C65CBB"/>
    <w:rsid w:val="00C74684"/>
    <w:rsid w:val="00C76BE1"/>
    <w:rsid w:val="00C77FEF"/>
    <w:rsid w:val="00C80F37"/>
    <w:rsid w:val="00C83659"/>
    <w:rsid w:val="00C839C1"/>
    <w:rsid w:val="00C97A7F"/>
    <w:rsid w:val="00CA3D5D"/>
    <w:rsid w:val="00CA4421"/>
    <w:rsid w:val="00CA5363"/>
    <w:rsid w:val="00CA6D17"/>
    <w:rsid w:val="00CA7D07"/>
    <w:rsid w:val="00CB24A4"/>
    <w:rsid w:val="00CB5B17"/>
    <w:rsid w:val="00CB6AA0"/>
    <w:rsid w:val="00CC4443"/>
    <w:rsid w:val="00CC5CAF"/>
    <w:rsid w:val="00CC697B"/>
    <w:rsid w:val="00CD2470"/>
    <w:rsid w:val="00CD32C2"/>
    <w:rsid w:val="00CE7E1B"/>
    <w:rsid w:val="00D04F25"/>
    <w:rsid w:val="00D06874"/>
    <w:rsid w:val="00D07530"/>
    <w:rsid w:val="00D07FCB"/>
    <w:rsid w:val="00D173F7"/>
    <w:rsid w:val="00D20203"/>
    <w:rsid w:val="00D204E0"/>
    <w:rsid w:val="00D21354"/>
    <w:rsid w:val="00D22127"/>
    <w:rsid w:val="00D22400"/>
    <w:rsid w:val="00D23F4A"/>
    <w:rsid w:val="00D24879"/>
    <w:rsid w:val="00D264E2"/>
    <w:rsid w:val="00D278BA"/>
    <w:rsid w:val="00D33FE5"/>
    <w:rsid w:val="00D348C0"/>
    <w:rsid w:val="00D3578A"/>
    <w:rsid w:val="00D36E8A"/>
    <w:rsid w:val="00D43A15"/>
    <w:rsid w:val="00D4463C"/>
    <w:rsid w:val="00D46182"/>
    <w:rsid w:val="00D46C7D"/>
    <w:rsid w:val="00D501EE"/>
    <w:rsid w:val="00D517DC"/>
    <w:rsid w:val="00D5360D"/>
    <w:rsid w:val="00D5590D"/>
    <w:rsid w:val="00D618E4"/>
    <w:rsid w:val="00D61DA5"/>
    <w:rsid w:val="00D63163"/>
    <w:rsid w:val="00D642A3"/>
    <w:rsid w:val="00D71B8A"/>
    <w:rsid w:val="00D72C08"/>
    <w:rsid w:val="00D75247"/>
    <w:rsid w:val="00D81325"/>
    <w:rsid w:val="00D822B2"/>
    <w:rsid w:val="00D8568C"/>
    <w:rsid w:val="00D86745"/>
    <w:rsid w:val="00D875ED"/>
    <w:rsid w:val="00D877D0"/>
    <w:rsid w:val="00D90013"/>
    <w:rsid w:val="00D91B9C"/>
    <w:rsid w:val="00D92C1B"/>
    <w:rsid w:val="00D94CC7"/>
    <w:rsid w:val="00D96567"/>
    <w:rsid w:val="00D97901"/>
    <w:rsid w:val="00DA1AF4"/>
    <w:rsid w:val="00DB0C60"/>
    <w:rsid w:val="00DC641A"/>
    <w:rsid w:val="00DD1560"/>
    <w:rsid w:val="00DD21A1"/>
    <w:rsid w:val="00DD68FB"/>
    <w:rsid w:val="00DD6B7D"/>
    <w:rsid w:val="00DD6E14"/>
    <w:rsid w:val="00DE15AC"/>
    <w:rsid w:val="00DE1738"/>
    <w:rsid w:val="00DF2015"/>
    <w:rsid w:val="00E055EA"/>
    <w:rsid w:val="00E061EC"/>
    <w:rsid w:val="00E0696B"/>
    <w:rsid w:val="00E10E81"/>
    <w:rsid w:val="00E13E51"/>
    <w:rsid w:val="00E21F56"/>
    <w:rsid w:val="00E27388"/>
    <w:rsid w:val="00E3014F"/>
    <w:rsid w:val="00E303CD"/>
    <w:rsid w:val="00E4286E"/>
    <w:rsid w:val="00E43EAD"/>
    <w:rsid w:val="00E45CC5"/>
    <w:rsid w:val="00E521CD"/>
    <w:rsid w:val="00E5249C"/>
    <w:rsid w:val="00E62DCB"/>
    <w:rsid w:val="00E651DD"/>
    <w:rsid w:val="00E66558"/>
    <w:rsid w:val="00E70D81"/>
    <w:rsid w:val="00E726A6"/>
    <w:rsid w:val="00E73418"/>
    <w:rsid w:val="00E8109E"/>
    <w:rsid w:val="00E83275"/>
    <w:rsid w:val="00E85C23"/>
    <w:rsid w:val="00E86F05"/>
    <w:rsid w:val="00EA14E2"/>
    <w:rsid w:val="00EA3A2A"/>
    <w:rsid w:val="00EA6B46"/>
    <w:rsid w:val="00EA71A2"/>
    <w:rsid w:val="00EB4556"/>
    <w:rsid w:val="00EB4A11"/>
    <w:rsid w:val="00EB64C8"/>
    <w:rsid w:val="00EC429C"/>
    <w:rsid w:val="00ED0FD4"/>
    <w:rsid w:val="00ED4136"/>
    <w:rsid w:val="00ED5108"/>
    <w:rsid w:val="00ED6AE8"/>
    <w:rsid w:val="00ED6E5E"/>
    <w:rsid w:val="00EE291B"/>
    <w:rsid w:val="00EE2CB2"/>
    <w:rsid w:val="00EF485B"/>
    <w:rsid w:val="00EF5A6B"/>
    <w:rsid w:val="00F012CA"/>
    <w:rsid w:val="00F01752"/>
    <w:rsid w:val="00F017D2"/>
    <w:rsid w:val="00F02AD0"/>
    <w:rsid w:val="00F0355A"/>
    <w:rsid w:val="00F05C44"/>
    <w:rsid w:val="00F15753"/>
    <w:rsid w:val="00F21F92"/>
    <w:rsid w:val="00F24A7E"/>
    <w:rsid w:val="00F32ABA"/>
    <w:rsid w:val="00F33DC0"/>
    <w:rsid w:val="00F33F28"/>
    <w:rsid w:val="00F35A40"/>
    <w:rsid w:val="00F35FDE"/>
    <w:rsid w:val="00F40DE1"/>
    <w:rsid w:val="00F4142A"/>
    <w:rsid w:val="00F41961"/>
    <w:rsid w:val="00F43B62"/>
    <w:rsid w:val="00F54FCB"/>
    <w:rsid w:val="00F551E6"/>
    <w:rsid w:val="00F62587"/>
    <w:rsid w:val="00F631A6"/>
    <w:rsid w:val="00F63E9E"/>
    <w:rsid w:val="00F63FEA"/>
    <w:rsid w:val="00F66AA7"/>
    <w:rsid w:val="00F6717B"/>
    <w:rsid w:val="00F75603"/>
    <w:rsid w:val="00F76843"/>
    <w:rsid w:val="00F76F87"/>
    <w:rsid w:val="00F776E1"/>
    <w:rsid w:val="00F77E8D"/>
    <w:rsid w:val="00F80CBB"/>
    <w:rsid w:val="00F925EB"/>
    <w:rsid w:val="00F97033"/>
    <w:rsid w:val="00FA6DD0"/>
    <w:rsid w:val="00FB35D7"/>
    <w:rsid w:val="00FB6CCA"/>
    <w:rsid w:val="00FC28DF"/>
    <w:rsid w:val="00FD1780"/>
    <w:rsid w:val="00FD2297"/>
    <w:rsid w:val="00FD406D"/>
    <w:rsid w:val="00FD6AC6"/>
    <w:rsid w:val="00FE3136"/>
    <w:rsid w:val="00FE50A3"/>
    <w:rsid w:val="00FE5204"/>
    <w:rsid w:val="00FE5F5C"/>
    <w:rsid w:val="00FE604C"/>
    <w:rsid w:val="00FE645B"/>
    <w:rsid w:val="00FF2000"/>
    <w:rsid w:val="00FF369D"/>
    <w:rsid w:val="00FF6CA3"/>
    <w:rsid w:val="00FF6FB0"/>
    <w:rsid w:val="00FF79A8"/>
    <w:rsid w:val="03F201E0"/>
    <w:rsid w:val="05B6D577"/>
    <w:rsid w:val="069AA0E3"/>
    <w:rsid w:val="07FFD3D3"/>
    <w:rsid w:val="09210FD3"/>
    <w:rsid w:val="0952AE01"/>
    <w:rsid w:val="09F4AA1C"/>
    <w:rsid w:val="0B240EAF"/>
    <w:rsid w:val="0D48AFA2"/>
    <w:rsid w:val="0E2EF87D"/>
    <w:rsid w:val="0E80E194"/>
    <w:rsid w:val="0F09C942"/>
    <w:rsid w:val="0FC4491B"/>
    <w:rsid w:val="1191B25D"/>
    <w:rsid w:val="13173609"/>
    <w:rsid w:val="15511BA4"/>
    <w:rsid w:val="17931D76"/>
    <w:rsid w:val="1A172959"/>
    <w:rsid w:val="1A9343A7"/>
    <w:rsid w:val="1ADD66EF"/>
    <w:rsid w:val="1AF66349"/>
    <w:rsid w:val="1B081591"/>
    <w:rsid w:val="1CBF4D92"/>
    <w:rsid w:val="1F120C42"/>
    <w:rsid w:val="21E295AD"/>
    <w:rsid w:val="2497129E"/>
    <w:rsid w:val="24EF75D6"/>
    <w:rsid w:val="2607C066"/>
    <w:rsid w:val="2654AB50"/>
    <w:rsid w:val="268967D6"/>
    <w:rsid w:val="2860AB8E"/>
    <w:rsid w:val="2A371FDC"/>
    <w:rsid w:val="2BFD61B8"/>
    <w:rsid w:val="2E16953B"/>
    <w:rsid w:val="2FFB967E"/>
    <w:rsid w:val="3065E093"/>
    <w:rsid w:val="31CC4DD9"/>
    <w:rsid w:val="380BAE89"/>
    <w:rsid w:val="39DF779B"/>
    <w:rsid w:val="3A023C44"/>
    <w:rsid w:val="3A3F1ACF"/>
    <w:rsid w:val="3BE13FA2"/>
    <w:rsid w:val="3BFBBCBF"/>
    <w:rsid w:val="3C5A6419"/>
    <w:rsid w:val="3EA4202B"/>
    <w:rsid w:val="3EC8587F"/>
    <w:rsid w:val="3EF968DF"/>
    <w:rsid w:val="407F390E"/>
    <w:rsid w:val="418407A1"/>
    <w:rsid w:val="41CA8B74"/>
    <w:rsid w:val="430C03C0"/>
    <w:rsid w:val="4479C397"/>
    <w:rsid w:val="44BF50D2"/>
    <w:rsid w:val="491E3A64"/>
    <w:rsid w:val="498C2E35"/>
    <w:rsid w:val="4BC27E58"/>
    <w:rsid w:val="4BF69EA0"/>
    <w:rsid w:val="4D0A24D2"/>
    <w:rsid w:val="50DB2E18"/>
    <w:rsid w:val="513C9C80"/>
    <w:rsid w:val="54CF733D"/>
    <w:rsid w:val="5726C435"/>
    <w:rsid w:val="57A92B5D"/>
    <w:rsid w:val="5B0C3A69"/>
    <w:rsid w:val="5C40C457"/>
    <w:rsid w:val="5D7FA2DD"/>
    <w:rsid w:val="5F38103D"/>
    <w:rsid w:val="5F3A7B6B"/>
    <w:rsid w:val="617B4808"/>
    <w:rsid w:val="625D1A15"/>
    <w:rsid w:val="630EE14E"/>
    <w:rsid w:val="644AC70C"/>
    <w:rsid w:val="64B45927"/>
    <w:rsid w:val="64FA708B"/>
    <w:rsid w:val="6948C1C2"/>
    <w:rsid w:val="6C5B1871"/>
    <w:rsid w:val="6C9B5646"/>
    <w:rsid w:val="6D28B1AF"/>
    <w:rsid w:val="6D616F43"/>
    <w:rsid w:val="6E54F9F4"/>
    <w:rsid w:val="6EB73EE5"/>
    <w:rsid w:val="709C33EC"/>
    <w:rsid w:val="70C08ADD"/>
    <w:rsid w:val="7392B463"/>
    <w:rsid w:val="74EE558A"/>
    <w:rsid w:val="760BFBCA"/>
    <w:rsid w:val="77FEA38F"/>
    <w:rsid w:val="798DD87F"/>
    <w:rsid w:val="7FB6EF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54B1"/>
  <w15:docId w15:val="{39C90586-59DA-4B73-8726-8D7E827E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83439F"/>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83439F"/>
    <w:rPr>
      <w:i/>
      <w:iCs/>
    </w:rPr>
  </w:style>
  <w:style w:type="paragraph" w:customStyle="1" w:styleId="TableParagraph">
    <w:name w:val="Table Paragraph"/>
    <w:basedOn w:val="Normal"/>
    <w:uiPriority w:val="1"/>
    <w:qFormat/>
    <w:rsid w:val="0083439F"/>
    <w:pPr>
      <w:widowControl w:val="0"/>
      <w:suppressAutoHyphens w:val="0"/>
      <w:autoSpaceDE w:val="0"/>
      <w:adjustRightInd w:val="0"/>
      <w:spacing w:after="0" w:line="240" w:lineRule="auto"/>
      <w:ind w:left="110"/>
    </w:pPr>
    <w:rPr>
      <w:rFonts w:ascii="Gill Sans MT" w:eastAsiaTheme="minorEastAsia" w:hAnsi="Gill Sans MT" w:cs="Gill Sans MT"/>
      <w:color w:val="auto"/>
    </w:rPr>
  </w:style>
  <w:style w:type="character" w:styleId="Strong">
    <w:name w:val="Strong"/>
    <w:basedOn w:val="DefaultParagraphFont"/>
    <w:uiPriority w:val="22"/>
    <w:qFormat/>
    <w:rsid w:val="0083439F"/>
    <w:rPr>
      <w:b/>
      <w:bCs/>
    </w:rPr>
  </w:style>
  <w:style w:type="paragraph" w:customStyle="1" w:styleId="Default">
    <w:name w:val="Default"/>
    <w:rsid w:val="00D24879"/>
    <w:pPr>
      <w:autoSpaceDE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3115154">
      <w:bodyDiv w:val="1"/>
      <w:marLeft w:val="0"/>
      <w:marRight w:val="0"/>
      <w:marTop w:val="0"/>
      <w:marBottom w:val="0"/>
      <w:divBdr>
        <w:top w:val="none" w:sz="0" w:space="0" w:color="auto"/>
        <w:left w:val="none" w:sz="0" w:space="0" w:color="auto"/>
        <w:bottom w:val="none" w:sz="0" w:space="0" w:color="auto"/>
        <w:right w:val="none" w:sz="0" w:space="0" w:color="auto"/>
      </w:divBdr>
    </w:div>
    <w:div w:id="38286964">
      <w:bodyDiv w:val="1"/>
      <w:marLeft w:val="0"/>
      <w:marRight w:val="0"/>
      <w:marTop w:val="0"/>
      <w:marBottom w:val="0"/>
      <w:divBdr>
        <w:top w:val="none" w:sz="0" w:space="0" w:color="auto"/>
        <w:left w:val="none" w:sz="0" w:space="0" w:color="auto"/>
        <w:bottom w:val="none" w:sz="0" w:space="0" w:color="auto"/>
        <w:right w:val="none" w:sz="0" w:space="0" w:color="auto"/>
      </w:divBdr>
      <w:divsChild>
        <w:div w:id="331372093">
          <w:marLeft w:val="0"/>
          <w:marRight w:val="0"/>
          <w:marTop w:val="0"/>
          <w:marBottom w:val="0"/>
          <w:divBdr>
            <w:top w:val="none" w:sz="0" w:space="0" w:color="auto"/>
            <w:left w:val="none" w:sz="0" w:space="0" w:color="auto"/>
            <w:bottom w:val="none" w:sz="0" w:space="0" w:color="auto"/>
            <w:right w:val="none" w:sz="0" w:space="0" w:color="auto"/>
          </w:divBdr>
          <w:divsChild>
            <w:div w:id="1140423265">
              <w:marLeft w:val="0"/>
              <w:marRight w:val="0"/>
              <w:marTop w:val="0"/>
              <w:marBottom w:val="0"/>
              <w:divBdr>
                <w:top w:val="none" w:sz="0" w:space="0" w:color="auto"/>
                <w:left w:val="none" w:sz="0" w:space="0" w:color="auto"/>
                <w:bottom w:val="none" w:sz="0" w:space="0" w:color="auto"/>
                <w:right w:val="none" w:sz="0" w:space="0" w:color="auto"/>
              </w:divBdr>
              <w:divsChild>
                <w:div w:id="982124032">
                  <w:marLeft w:val="0"/>
                  <w:marRight w:val="0"/>
                  <w:marTop w:val="0"/>
                  <w:marBottom w:val="0"/>
                  <w:divBdr>
                    <w:top w:val="none" w:sz="0" w:space="0" w:color="auto"/>
                    <w:left w:val="none" w:sz="0" w:space="0" w:color="auto"/>
                    <w:bottom w:val="none" w:sz="0" w:space="0" w:color="auto"/>
                    <w:right w:val="none" w:sz="0" w:space="0" w:color="auto"/>
                  </w:divBdr>
                  <w:divsChild>
                    <w:div w:id="1609242524">
                      <w:marLeft w:val="0"/>
                      <w:marRight w:val="0"/>
                      <w:marTop w:val="0"/>
                      <w:marBottom w:val="0"/>
                      <w:divBdr>
                        <w:top w:val="none" w:sz="0" w:space="0" w:color="auto"/>
                        <w:left w:val="none" w:sz="0" w:space="0" w:color="auto"/>
                        <w:bottom w:val="none" w:sz="0" w:space="0" w:color="auto"/>
                        <w:right w:val="none" w:sz="0" w:space="0" w:color="auto"/>
                      </w:divBdr>
                      <w:divsChild>
                        <w:div w:id="558593718">
                          <w:marLeft w:val="0"/>
                          <w:marRight w:val="0"/>
                          <w:marTop w:val="0"/>
                          <w:marBottom w:val="0"/>
                          <w:divBdr>
                            <w:top w:val="none" w:sz="0" w:space="0" w:color="auto"/>
                            <w:left w:val="none" w:sz="0" w:space="0" w:color="auto"/>
                            <w:bottom w:val="none" w:sz="0" w:space="0" w:color="auto"/>
                            <w:right w:val="none" w:sz="0" w:space="0" w:color="auto"/>
                          </w:divBdr>
                          <w:divsChild>
                            <w:div w:id="50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917732">
      <w:bodyDiv w:val="1"/>
      <w:marLeft w:val="0"/>
      <w:marRight w:val="0"/>
      <w:marTop w:val="0"/>
      <w:marBottom w:val="0"/>
      <w:divBdr>
        <w:top w:val="none" w:sz="0" w:space="0" w:color="auto"/>
        <w:left w:val="none" w:sz="0" w:space="0" w:color="auto"/>
        <w:bottom w:val="none" w:sz="0" w:space="0" w:color="auto"/>
        <w:right w:val="none" w:sz="0" w:space="0" w:color="auto"/>
      </w:divBdr>
      <w:divsChild>
        <w:div w:id="1080713712">
          <w:marLeft w:val="0"/>
          <w:marRight w:val="0"/>
          <w:marTop w:val="0"/>
          <w:marBottom w:val="0"/>
          <w:divBdr>
            <w:top w:val="none" w:sz="0" w:space="0" w:color="auto"/>
            <w:left w:val="none" w:sz="0" w:space="0" w:color="auto"/>
            <w:bottom w:val="none" w:sz="0" w:space="0" w:color="auto"/>
            <w:right w:val="none" w:sz="0" w:space="0" w:color="auto"/>
          </w:divBdr>
        </w:div>
        <w:div w:id="1670407385">
          <w:marLeft w:val="0"/>
          <w:marRight w:val="0"/>
          <w:marTop w:val="0"/>
          <w:marBottom w:val="0"/>
          <w:divBdr>
            <w:top w:val="none" w:sz="0" w:space="0" w:color="auto"/>
            <w:left w:val="none" w:sz="0" w:space="0" w:color="auto"/>
            <w:bottom w:val="none" w:sz="0" w:space="0" w:color="auto"/>
            <w:right w:val="none" w:sz="0" w:space="0" w:color="auto"/>
          </w:divBdr>
        </w:div>
      </w:divsChild>
    </w:div>
    <w:div w:id="302656144">
      <w:bodyDiv w:val="1"/>
      <w:marLeft w:val="0"/>
      <w:marRight w:val="0"/>
      <w:marTop w:val="0"/>
      <w:marBottom w:val="0"/>
      <w:divBdr>
        <w:top w:val="none" w:sz="0" w:space="0" w:color="auto"/>
        <w:left w:val="none" w:sz="0" w:space="0" w:color="auto"/>
        <w:bottom w:val="none" w:sz="0" w:space="0" w:color="auto"/>
        <w:right w:val="none" w:sz="0" w:space="0" w:color="auto"/>
      </w:divBdr>
    </w:div>
    <w:div w:id="715348223">
      <w:bodyDiv w:val="1"/>
      <w:marLeft w:val="0"/>
      <w:marRight w:val="0"/>
      <w:marTop w:val="0"/>
      <w:marBottom w:val="0"/>
      <w:divBdr>
        <w:top w:val="none" w:sz="0" w:space="0" w:color="auto"/>
        <w:left w:val="none" w:sz="0" w:space="0" w:color="auto"/>
        <w:bottom w:val="none" w:sz="0" w:space="0" w:color="auto"/>
        <w:right w:val="none" w:sz="0" w:space="0" w:color="auto"/>
      </w:divBdr>
    </w:div>
    <w:div w:id="780874867">
      <w:bodyDiv w:val="1"/>
      <w:marLeft w:val="0"/>
      <w:marRight w:val="0"/>
      <w:marTop w:val="0"/>
      <w:marBottom w:val="0"/>
      <w:divBdr>
        <w:top w:val="none" w:sz="0" w:space="0" w:color="auto"/>
        <w:left w:val="none" w:sz="0" w:space="0" w:color="auto"/>
        <w:bottom w:val="none" w:sz="0" w:space="0" w:color="auto"/>
        <w:right w:val="none" w:sz="0" w:space="0" w:color="auto"/>
      </w:divBdr>
    </w:div>
    <w:div w:id="814374838">
      <w:bodyDiv w:val="1"/>
      <w:marLeft w:val="0"/>
      <w:marRight w:val="0"/>
      <w:marTop w:val="0"/>
      <w:marBottom w:val="0"/>
      <w:divBdr>
        <w:top w:val="none" w:sz="0" w:space="0" w:color="auto"/>
        <w:left w:val="none" w:sz="0" w:space="0" w:color="auto"/>
        <w:bottom w:val="none" w:sz="0" w:space="0" w:color="auto"/>
        <w:right w:val="none" w:sz="0" w:space="0" w:color="auto"/>
      </w:divBdr>
    </w:div>
    <w:div w:id="828250137">
      <w:bodyDiv w:val="1"/>
      <w:marLeft w:val="0"/>
      <w:marRight w:val="0"/>
      <w:marTop w:val="0"/>
      <w:marBottom w:val="0"/>
      <w:divBdr>
        <w:top w:val="none" w:sz="0" w:space="0" w:color="auto"/>
        <w:left w:val="none" w:sz="0" w:space="0" w:color="auto"/>
        <w:bottom w:val="none" w:sz="0" w:space="0" w:color="auto"/>
        <w:right w:val="none" w:sz="0" w:space="0" w:color="auto"/>
      </w:divBdr>
    </w:div>
    <w:div w:id="946961686">
      <w:bodyDiv w:val="1"/>
      <w:marLeft w:val="0"/>
      <w:marRight w:val="0"/>
      <w:marTop w:val="0"/>
      <w:marBottom w:val="0"/>
      <w:divBdr>
        <w:top w:val="none" w:sz="0" w:space="0" w:color="auto"/>
        <w:left w:val="none" w:sz="0" w:space="0" w:color="auto"/>
        <w:bottom w:val="none" w:sz="0" w:space="0" w:color="auto"/>
        <w:right w:val="none" w:sz="0" w:space="0" w:color="auto"/>
      </w:divBdr>
    </w:div>
    <w:div w:id="1297641199">
      <w:bodyDiv w:val="1"/>
      <w:marLeft w:val="0"/>
      <w:marRight w:val="0"/>
      <w:marTop w:val="0"/>
      <w:marBottom w:val="0"/>
      <w:divBdr>
        <w:top w:val="none" w:sz="0" w:space="0" w:color="auto"/>
        <w:left w:val="none" w:sz="0" w:space="0" w:color="auto"/>
        <w:bottom w:val="none" w:sz="0" w:space="0" w:color="auto"/>
        <w:right w:val="none" w:sz="0" w:space="0" w:color="auto"/>
      </w:divBdr>
    </w:div>
    <w:div w:id="1357578731">
      <w:bodyDiv w:val="1"/>
      <w:marLeft w:val="0"/>
      <w:marRight w:val="0"/>
      <w:marTop w:val="0"/>
      <w:marBottom w:val="0"/>
      <w:divBdr>
        <w:top w:val="none" w:sz="0" w:space="0" w:color="auto"/>
        <w:left w:val="none" w:sz="0" w:space="0" w:color="auto"/>
        <w:bottom w:val="none" w:sz="0" w:space="0" w:color="auto"/>
        <w:right w:val="none" w:sz="0" w:space="0" w:color="auto"/>
      </w:divBdr>
    </w:div>
    <w:div w:id="1499006605">
      <w:bodyDiv w:val="1"/>
      <w:marLeft w:val="0"/>
      <w:marRight w:val="0"/>
      <w:marTop w:val="0"/>
      <w:marBottom w:val="0"/>
      <w:divBdr>
        <w:top w:val="none" w:sz="0" w:space="0" w:color="auto"/>
        <w:left w:val="none" w:sz="0" w:space="0" w:color="auto"/>
        <w:bottom w:val="none" w:sz="0" w:space="0" w:color="auto"/>
        <w:right w:val="none" w:sz="0" w:space="0" w:color="auto"/>
      </w:divBdr>
    </w:div>
    <w:div w:id="1504592120">
      <w:bodyDiv w:val="1"/>
      <w:marLeft w:val="0"/>
      <w:marRight w:val="0"/>
      <w:marTop w:val="0"/>
      <w:marBottom w:val="0"/>
      <w:divBdr>
        <w:top w:val="none" w:sz="0" w:space="0" w:color="auto"/>
        <w:left w:val="none" w:sz="0" w:space="0" w:color="auto"/>
        <w:bottom w:val="none" w:sz="0" w:space="0" w:color="auto"/>
        <w:right w:val="none" w:sz="0" w:space="0" w:color="auto"/>
      </w:divBdr>
    </w:div>
    <w:div w:id="1728062892">
      <w:bodyDiv w:val="1"/>
      <w:marLeft w:val="0"/>
      <w:marRight w:val="0"/>
      <w:marTop w:val="0"/>
      <w:marBottom w:val="0"/>
      <w:divBdr>
        <w:top w:val="none" w:sz="0" w:space="0" w:color="auto"/>
        <w:left w:val="none" w:sz="0" w:space="0" w:color="auto"/>
        <w:bottom w:val="none" w:sz="0" w:space="0" w:color="auto"/>
        <w:right w:val="none" w:sz="0" w:space="0" w:color="auto"/>
      </w:divBdr>
    </w:div>
    <w:div w:id="183291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se.org.uk/sites/default/files/Closing%20the%20Disadvantage%20Gap%20%28EEF%20Toolkit%29%20ASE%20IIS.pdf" TargetMode="External"/><Relationship Id="rId18" Type="http://schemas.openxmlformats.org/officeDocument/2006/relationships/hyperlink" Target="https://educationendowmentfoundation.org.uk/support-for-schools/school-planning-support/2-targeted-academic-support" TargetMode="External"/><Relationship Id="rId26" Type="http://schemas.openxmlformats.org/officeDocument/2006/relationships/hyperlink" Target="https://publications.parliament.uk/pa/cm5901/cmselect/cmpubacc/365/report.html" TargetMode="External"/><Relationship Id="rId3" Type="http://schemas.openxmlformats.org/officeDocument/2006/relationships/settings" Target="settings.xml"/><Relationship Id="rId21" Type="http://schemas.openxmlformats.org/officeDocument/2006/relationships/hyperlink" Target="https://research.manchester.ac.uk/en/studentTheses/supporting-students-with-semh-needs-an-exploration-of-teacher-stu" TargetMode="External"/><Relationship Id="rId7" Type="http://schemas.openxmlformats.org/officeDocument/2006/relationships/hyperlink" Target="https://educationendowmentfoundation.org.uk/support-for-schools/school-planning-support/1-high-quality-teaching" TargetMode="External"/><Relationship Id="rId12" Type="http://schemas.openxmlformats.org/officeDocument/2006/relationships/hyperlink" Target="https://schoolsweek.co.uk/the-problems-and-solutions-for-teacher-recruitment-and-retention/" TargetMode="External"/><Relationship Id="rId17" Type="http://schemas.openxmlformats.org/officeDocument/2006/relationships/hyperlink" Target="https://blog.policy.manchester.ac.uk/posts/2023/11/supporting-vulnerable-children-over-primary-secondary-school-transitions/" TargetMode="External"/><Relationship Id="rId25" Type="http://schemas.openxmlformats.org/officeDocument/2006/relationships/hyperlink" Target="https://www.anewdirection.org.uk/research/pupil-premium-case-studi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rc.ie/wp-content/uploads/2020/11/Effective-Interventions-for-Struggling-Readers-A-Good-Practice-Guide-for-Teachers.pdf" TargetMode="External"/><Relationship Id="rId20" Type="http://schemas.openxmlformats.org/officeDocument/2006/relationships/hyperlink" Target="https://educationendowmentfoundation.org.uk/education-evidence/teaching-learning-toolkit/behaviour-interventions" TargetMode="External"/><Relationship Id="rId29" Type="http://schemas.openxmlformats.org/officeDocument/2006/relationships/hyperlink" Target="https://educationendowmentfoundation.org.uk/education-evidence/teaching-learning-toolkit/parental-engag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dtrust.org/posts/improving-recruitment-retention-6-evidence-based-actions-for-leaders-from-a-new-eef-research-review/" TargetMode="External"/><Relationship Id="rId24" Type="http://schemas.openxmlformats.org/officeDocument/2006/relationships/hyperlink" Target="https://educationendowmentfoundation.org.uk/education-evidence/teaching-learning-toolkit/arts-participatio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reading-comprehension-strategies" TargetMode="External"/><Relationship Id="rId23" Type="http://schemas.openxmlformats.org/officeDocument/2006/relationships/hyperlink" Target="https://educationendowmentfoundation.org.uk/education-evidence/teaching-learning-toolkit/aspiration-interventions" TargetMode="External"/><Relationship Id="rId28" Type="http://schemas.openxmlformats.org/officeDocument/2006/relationships/hyperlink" Target="https://www.saffronteachingschoolhub.net/blog/?pid=114&amp;nid=3&amp;storyid=164" TargetMode="External"/><Relationship Id="rId10" Type="http://schemas.openxmlformats.org/officeDocument/2006/relationships/hyperlink" Target="https://priorityliteracy.org.uk/wp-content/uploads/2024/03/PEIA-Session-3-Vocabulary-RESOURCE-BANK-EXTERNAL-USE.pdf" TargetMode="External"/><Relationship Id="rId19" Type="http://schemas.openxmlformats.org/officeDocument/2006/relationships/hyperlink" Target="https://www.bell-foundation.org.uk/resources/guidance/schools-and-leaders/refugee-school-funding-provis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chooltransition.co.uk/wp-content/uploads/2021/03/Improving-Literacy-in-Secondary-Schools-EEF-Guidance-Report.pdf" TargetMode="External"/><Relationship Id="rId14" Type="http://schemas.openxmlformats.org/officeDocument/2006/relationships/hyperlink" Target="https://www.ambition.org.uk/blog/supporting-schools-to-maximise-the-impact-of-instructional-coaching/" TargetMode="External"/><Relationship Id="rId22" Type="http://schemas.openxmlformats.org/officeDocument/2006/relationships/hyperlink" Target="https://educationendowmentfoundation.org.uk/education-evidence/evidence-reviews/attendance-interventions-rapid-evidence-assessment" TargetMode="External"/><Relationship Id="rId27" Type="http://schemas.openxmlformats.org/officeDocument/2006/relationships/hyperlink" Target="https://educationendowmentfoundation.org.uk/education-evidence/teaching-learning-toolkit/behaviour-interventions" TargetMode="External"/><Relationship Id="rId30" Type="http://schemas.openxmlformats.org/officeDocument/2006/relationships/hyperlink" Target="https://www.parentkind.org.uk/assets/resources/Parentkind-ASCL-NAHT-guidance-Building-effective-home-school-partnerships.pdf" TargetMode="External"/><Relationship Id="rId8" Type="http://schemas.openxmlformats.org/officeDocument/2006/relationships/hyperlink" Target="https://researchschool.org.uk/bradford/news/making-the-most-of-the-eef-teaching-and-learning-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3708</Words>
  <Characters>23585</Characters>
  <Application>Microsoft Office Word</Application>
  <DocSecurity>0</DocSecurity>
  <Lines>813</Lines>
  <Paragraphs>267</Paragraphs>
  <ScaleCrop>false</ScaleCrop>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Scholefield,  A (Mr)</cp:lastModifiedBy>
  <cp:revision>139</cp:revision>
  <cp:lastPrinted>2024-11-12T17:27:00Z</cp:lastPrinted>
  <dcterms:created xsi:type="dcterms:W3CDTF">2025-09-22T10:02:00Z</dcterms:created>
  <dcterms:modified xsi:type="dcterms:W3CDTF">2025-12-15T11:21:00Z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GrammarlyDocumentId">
    <vt:lpwstr>e04b8557-ee3e-44b3-8559-115eadf48ecd</vt:lpwstr>
  </property>
</Properties>
</file>